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94AA86">
      <w:pPr>
        <w:pStyle w:val="2"/>
        <w:rPr>
          <w:rFonts w:hint="eastAsia" w:ascii="宋体" w:hAnsi="宋体" w:eastAsia="宋体" w:cs="宋体"/>
          <w:b/>
          <w:bCs/>
          <w:sz w:val="36"/>
          <w:szCs w:val="36"/>
        </w:rPr>
      </w:pPr>
      <w:r>
        <w:rPr>
          <w:rFonts w:hint="eastAsia" w:ascii="Times New Roman" w:eastAsia="宋体"/>
          <w:b/>
          <w:bCs/>
          <w:sz w:val="36"/>
          <w:szCs w:val="36"/>
        </w:rPr>
        <w:t>202</w:t>
      </w:r>
      <w:r>
        <w:rPr>
          <w:rFonts w:hint="eastAsia" w:ascii="Times New Roman" w:eastAsia="宋体"/>
          <w:b/>
          <w:bCs/>
          <w:sz w:val="36"/>
          <w:szCs w:val="36"/>
          <w:lang w:val="en-US" w:eastAsia="zh-CN"/>
        </w:rPr>
        <w:t>6</w:t>
      </w:r>
      <w:r>
        <w:rPr>
          <w:rFonts w:hint="eastAsia" w:ascii="Times New Roman" w:eastAsia="宋体"/>
          <w:b/>
          <w:bCs/>
          <w:sz w:val="36"/>
          <w:szCs w:val="36"/>
        </w:rPr>
        <w:t>年自然资源科学技术奖</w:t>
      </w:r>
      <w:r>
        <w:rPr>
          <w:rFonts w:hint="eastAsia" w:ascii="宋体" w:hAnsi="宋体" w:eastAsia="宋体" w:cs="宋体"/>
          <w:b/>
          <w:bCs/>
          <w:sz w:val="36"/>
          <w:szCs w:val="36"/>
        </w:rPr>
        <w:t>公示表</w:t>
      </w:r>
    </w:p>
    <w:p w14:paraId="6F5ED1E1"/>
    <w:p w14:paraId="67C102F0"/>
    <w:tbl>
      <w:tblPr>
        <w:tblStyle w:val="11"/>
        <w:tblW w:w="91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4"/>
        <w:gridCol w:w="7653"/>
      </w:tblGrid>
      <w:tr w14:paraId="71CCA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1534" w:type="dxa"/>
            <w:vAlign w:val="center"/>
          </w:tcPr>
          <w:p w14:paraId="326D0F45">
            <w:pPr>
              <w:adjustRightInd w:val="0"/>
              <w:snapToGrid w:val="0"/>
              <w:jc w:val="left"/>
              <w:rPr>
                <w:rFonts w:hint="eastAsia" w:ascii="宋体" w:hAnsi="宋体" w:eastAsia="宋体" w:cs="宋体"/>
                <w:b/>
                <w:bCs/>
                <w:sz w:val="21"/>
                <w:szCs w:val="21"/>
              </w:rPr>
            </w:pPr>
            <w:r>
              <w:rPr>
                <w:rFonts w:hint="eastAsia" w:ascii="宋体" w:hAnsi="宋体" w:eastAsia="宋体" w:cs="宋体"/>
                <w:b/>
                <w:bCs/>
                <w:sz w:val="21"/>
                <w:szCs w:val="21"/>
              </w:rPr>
              <w:t>项目名称</w:t>
            </w:r>
          </w:p>
        </w:tc>
        <w:tc>
          <w:tcPr>
            <w:tcW w:w="7653" w:type="dxa"/>
            <w:vAlign w:val="bottom"/>
          </w:tcPr>
          <w:p w14:paraId="37D2D1AC">
            <w:pPr>
              <w:spacing w:line="400" w:lineRule="exact"/>
              <w:jc w:val="left"/>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海洋磷脂南极磷虾油脂质体递送关键技术及临床转化</w:t>
            </w:r>
          </w:p>
        </w:tc>
      </w:tr>
      <w:tr w14:paraId="4939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1534" w:type="dxa"/>
            <w:vAlign w:val="center"/>
          </w:tcPr>
          <w:p w14:paraId="3AE4F429">
            <w:pPr>
              <w:adjustRightInd w:val="0"/>
              <w:snapToGrid w:val="0"/>
              <w:jc w:val="left"/>
              <w:rPr>
                <w:rFonts w:hint="eastAsia" w:ascii="宋体" w:hAnsi="宋体" w:eastAsia="宋体" w:cs="宋体"/>
                <w:b/>
                <w:bCs/>
                <w:sz w:val="21"/>
                <w:szCs w:val="21"/>
              </w:rPr>
            </w:pPr>
            <w:r>
              <w:rPr>
                <w:rFonts w:hint="eastAsia" w:ascii="宋体" w:hAnsi="宋体" w:eastAsia="宋体" w:cs="宋体"/>
                <w:b/>
                <w:bCs/>
                <w:sz w:val="21"/>
                <w:szCs w:val="21"/>
              </w:rPr>
              <w:t>申报奖项</w:t>
            </w:r>
          </w:p>
        </w:tc>
        <w:tc>
          <w:tcPr>
            <w:tcW w:w="7653" w:type="dxa"/>
            <w:vAlign w:val="center"/>
          </w:tcPr>
          <w:p w14:paraId="6BA37B1C">
            <w:pPr>
              <w:spacing w:line="400" w:lineRule="exact"/>
              <w:jc w:val="left"/>
              <w:rPr>
                <w:rFonts w:hint="eastAsia" w:ascii="宋体" w:hAnsi="宋体" w:eastAsia="宋体" w:cs="宋体"/>
                <w:i w:val="0"/>
                <w:iCs w:val="0"/>
                <w:caps w:val="0"/>
                <w:color w:val="0F1115"/>
                <w:spacing w:val="0"/>
                <w:sz w:val="21"/>
                <w:szCs w:val="21"/>
                <w:shd w:val="clear" w:fill="FFFFFF"/>
                <w:lang w:val="en-US" w:eastAsia="zh-CN"/>
              </w:rPr>
            </w:pPr>
            <w:r>
              <w:rPr>
                <w:rFonts w:hint="eastAsia" w:ascii="宋体" w:hAnsi="宋体" w:eastAsia="宋体" w:cs="宋体"/>
                <w:i w:val="0"/>
                <w:iCs w:val="0"/>
                <w:caps w:val="0"/>
                <w:color w:val="0F1115"/>
                <w:spacing w:val="0"/>
                <w:sz w:val="21"/>
                <w:szCs w:val="21"/>
                <w:shd w:val="clear" w:fill="FFFFFF"/>
                <w:lang w:val="en-US" w:eastAsia="zh-CN"/>
              </w:rPr>
              <w:t>科技进步奖</w:t>
            </w:r>
          </w:p>
        </w:tc>
      </w:tr>
      <w:tr w14:paraId="55AC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1534" w:type="dxa"/>
            <w:vAlign w:val="center"/>
          </w:tcPr>
          <w:p w14:paraId="2D17B260">
            <w:pPr>
              <w:snapToGrid w:val="0"/>
              <w:jc w:val="left"/>
              <w:rPr>
                <w:rFonts w:hint="eastAsia" w:ascii="宋体" w:hAnsi="宋体" w:eastAsia="宋体" w:cs="宋体"/>
                <w:b/>
                <w:bCs/>
                <w:sz w:val="21"/>
                <w:szCs w:val="21"/>
              </w:rPr>
            </w:pPr>
            <w:r>
              <w:rPr>
                <w:rFonts w:hint="eastAsia" w:ascii="宋体" w:hAnsi="宋体" w:eastAsia="宋体" w:cs="宋体"/>
                <w:b/>
                <w:bCs/>
                <w:sz w:val="21"/>
                <w:szCs w:val="21"/>
              </w:rPr>
              <w:t>主要完成单位</w:t>
            </w:r>
          </w:p>
        </w:tc>
        <w:tc>
          <w:tcPr>
            <w:tcW w:w="7653" w:type="dxa"/>
            <w:vAlign w:val="center"/>
          </w:tcPr>
          <w:p w14:paraId="7D272F99">
            <w:pPr>
              <w:spacing w:line="400" w:lineRule="exact"/>
              <w:jc w:val="left"/>
              <w:rPr>
                <w:rFonts w:hint="eastAsia" w:ascii="宋体" w:hAnsi="宋体" w:eastAsia="宋体" w:cs="宋体"/>
                <w:i w:val="0"/>
                <w:iCs w:val="0"/>
                <w:caps w:val="0"/>
                <w:color w:val="0F1115"/>
                <w:spacing w:val="0"/>
                <w:sz w:val="21"/>
                <w:szCs w:val="21"/>
                <w:shd w:val="clear" w:fill="FFFFFF"/>
                <w:lang w:val="en-US" w:eastAsia="zh-CN"/>
              </w:rPr>
            </w:pPr>
            <w:r>
              <w:rPr>
                <w:rFonts w:hint="eastAsia" w:ascii="宋体" w:hAnsi="宋体" w:eastAsia="宋体" w:cs="宋体"/>
                <w:i w:val="0"/>
                <w:iCs w:val="0"/>
                <w:caps w:val="0"/>
                <w:color w:val="0F1115"/>
                <w:spacing w:val="0"/>
                <w:sz w:val="21"/>
                <w:szCs w:val="21"/>
                <w:shd w:val="clear" w:fill="FFFFFF"/>
                <w:lang w:val="en-US" w:eastAsia="zh-CN"/>
              </w:rPr>
              <w:t>济南极源生物科技有限公司</w:t>
            </w:r>
          </w:p>
        </w:tc>
      </w:tr>
      <w:tr w14:paraId="04299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1534" w:type="dxa"/>
            <w:vAlign w:val="center"/>
          </w:tcPr>
          <w:p w14:paraId="3E87D355">
            <w:pPr>
              <w:snapToGrid w:val="0"/>
              <w:jc w:val="left"/>
              <w:rPr>
                <w:rFonts w:hint="eastAsia" w:ascii="宋体" w:hAnsi="宋体" w:eastAsia="宋体" w:cs="宋体"/>
                <w:b/>
                <w:bCs/>
                <w:sz w:val="21"/>
                <w:szCs w:val="21"/>
              </w:rPr>
            </w:pPr>
            <w:r>
              <w:rPr>
                <w:rFonts w:hint="eastAsia" w:ascii="宋体" w:hAnsi="宋体" w:eastAsia="宋体" w:cs="宋体"/>
                <w:b/>
                <w:bCs/>
                <w:sz w:val="21"/>
                <w:szCs w:val="21"/>
              </w:rPr>
              <w:t>主要完成人</w:t>
            </w:r>
          </w:p>
        </w:tc>
        <w:tc>
          <w:tcPr>
            <w:tcW w:w="7653" w:type="dxa"/>
            <w:vAlign w:val="center"/>
          </w:tcPr>
          <w:p w14:paraId="79406841">
            <w:pPr>
              <w:spacing w:line="400" w:lineRule="exact"/>
              <w:jc w:val="left"/>
              <w:rPr>
                <w:rFonts w:hint="eastAsia" w:ascii="宋体" w:hAnsi="宋体" w:eastAsia="宋体" w:cs="宋体"/>
                <w:i w:val="0"/>
                <w:iCs w:val="0"/>
                <w:caps w:val="0"/>
                <w:color w:val="0F1115"/>
                <w:spacing w:val="0"/>
                <w:sz w:val="21"/>
                <w:szCs w:val="21"/>
                <w:shd w:val="clear" w:fill="FFFFFF"/>
                <w:lang w:val="en-US" w:eastAsia="zh-CN"/>
              </w:rPr>
            </w:pPr>
            <w:r>
              <w:rPr>
                <w:rFonts w:hint="eastAsia" w:ascii="宋体" w:hAnsi="宋体" w:eastAsia="宋体" w:cs="宋体"/>
                <w:color w:val="auto"/>
                <w:kern w:val="2"/>
                <w:sz w:val="21"/>
                <w:szCs w:val="21"/>
              </w:rPr>
              <w:t>王娜</w:t>
            </w:r>
            <w:r>
              <w:rPr>
                <w:rFonts w:hint="eastAsia" w:ascii="宋体" w:hAnsi="宋体" w:cs="宋体"/>
                <w:color w:val="auto"/>
                <w:kern w:val="2"/>
                <w:sz w:val="21"/>
                <w:szCs w:val="21"/>
                <w:lang w:eastAsia="zh-CN"/>
              </w:rPr>
              <w:t>、</w:t>
            </w:r>
            <w:r>
              <w:rPr>
                <w:rFonts w:hint="eastAsia" w:ascii="宋体" w:hAnsi="宋体" w:cs="宋体"/>
                <w:color w:val="auto"/>
                <w:kern w:val="2"/>
                <w:sz w:val="21"/>
                <w:szCs w:val="21"/>
                <w:lang w:val="en-US" w:eastAsia="zh-CN"/>
              </w:rPr>
              <w:t>荆卫强、</w:t>
            </w:r>
            <w:r>
              <w:rPr>
                <w:rFonts w:hint="eastAsia" w:ascii="宋体" w:hAnsi="宋体" w:eastAsia="宋体" w:cs="宋体"/>
                <w:color w:val="auto"/>
                <w:kern w:val="2"/>
                <w:sz w:val="21"/>
                <w:szCs w:val="21"/>
              </w:rPr>
              <w:t>杨文钰</w:t>
            </w:r>
            <w:r>
              <w:rPr>
                <w:rFonts w:hint="eastAsia" w:ascii="宋体" w:hAnsi="宋体" w:cs="宋体"/>
                <w:color w:val="auto"/>
                <w:kern w:val="2"/>
                <w:sz w:val="21"/>
                <w:szCs w:val="21"/>
                <w:lang w:eastAsia="zh-CN"/>
              </w:rPr>
              <w:t>、</w:t>
            </w:r>
            <w:r>
              <w:rPr>
                <w:rFonts w:hint="eastAsia" w:ascii="宋体" w:hAnsi="宋体" w:eastAsia="宋体" w:cs="宋体"/>
                <w:color w:val="auto"/>
                <w:kern w:val="2"/>
                <w:sz w:val="21"/>
                <w:szCs w:val="21"/>
              </w:rPr>
              <w:t>玄进</w:t>
            </w:r>
            <w:r>
              <w:rPr>
                <w:rFonts w:hint="eastAsia" w:ascii="宋体" w:hAnsi="宋体" w:cs="宋体"/>
                <w:color w:val="auto"/>
                <w:kern w:val="2"/>
                <w:sz w:val="21"/>
                <w:szCs w:val="21"/>
                <w:lang w:eastAsia="zh-CN"/>
              </w:rPr>
              <w:t>、</w:t>
            </w:r>
            <w:r>
              <w:rPr>
                <w:rFonts w:hint="eastAsia" w:ascii="宋体" w:hAnsi="宋体" w:eastAsia="宋体" w:cs="宋体"/>
                <w:color w:val="auto"/>
                <w:kern w:val="2"/>
                <w:sz w:val="21"/>
                <w:szCs w:val="21"/>
              </w:rPr>
              <w:t>丁先红</w:t>
            </w:r>
            <w:r>
              <w:rPr>
                <w:rFonts w:hint="eastAsia" w:ascii="宋体" w:hAnsi="宋体" w:cs="宋体"/>
                <w:color w:val="auto"/>
                <w:kern w:val="2"/>
                <w:sz w:val="21"/>
                <w:szCs w:val="21"/>
                <w:lang w:eastAsia="zh-CN"/>
              </w:rPr>
              <w:t>、</w:t>
            </w:r>
            <w:r>
              <w:rPr>
                <w:rFonts w:hint="eastAsia" w:ascii="宋体" w:hAnsi="宋体" w:eastAsia="宋体" w:cs="宋体"/>
                <w:color w:val="auto"/>
                <w:kern w:val="2"/>
                <w:sz w:val="21"/>
                <w:szCs w:val="21"/>
              </w:rPr>
              <w:t>杨美娜</w:t>
            </w:r>
            <w:r>
              <w:rPr>
                <w:rFonts w:hint="eastAsia" w:ascii="宋体" w:hAnsi="宋体" w:cs="宋体"/>
                <w:color w:val="auto"/>
                <w:kern w:val="2"/>
                <w:sz w:val="21"/>
                <w:szCs w:val="21"/>
                <w:lang w:eastAsia="zh-CN"/>
              </w:rPr>
              <w:t>、</w:t>
            </w:r>
            <w:r>
              <w:rPr>
                <w:rFonts w:hint="eastAsia" w:ascii="宋体" w:hAnsi="宋体" w:eastAsia="宋体" w:cs="宋体"/>
                <w:color w:val="auto"/>
                <w:kern w:val="2"/>
                <w:sz w:val="21"/>
                <w:szCs w:val="21"/>
              </w:rPr>
              <w:t>苏酩</w:t>
            </w:r>
            <w:r>
              <w:rPr>
                <w:rFonts w:hint="eastAsia" w:ascii="宋体" w:hAnsi="宋体" w:cs="宋体"/>
                <w:color w:val="auto"/>
                <w:kern w:val="2"/>
                <w:sz w:val="21"/>
                <w:szCs w:val="21"/>
                <w:lang w:eastAsia="zh-CN"/>
              </w:rPr>
              <w:t>、</w:t>
            </w:r>
            <w:r>
              <w:rPr>
                <w:rFonts w:hint="eastAsia" w:ascii="宋体" w:hAnsi="宋体" w:eastAsia="宋体" w:cs="宋体"/>
                <w:color w:val="auto"/>
                <w:kern w:val="2"/>
                <w:sz w:val="21"/>
                <w:szCs w:val="21"/>
              </w:rPr>
              <w:t>赵福江</w:t>
            </w:r>
            <w:bookmarkStart w:id="0" w:name="_GoBack"/>
            <w:bookmarkEnd w:id="0"/>
          </w:p>
        </w:tc>
      </w:tr>
      <w:tr w14:paraId="68119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5" w:hRule="atLeast"/>
          <w:jc w:val="center"/>
        </w:trPr>
        <w:tc>
          <w:tcPr>
            <w:tcW w:w="1534" w:type="dxa"/>
            <w:vAlign w:val="center"/>
          </w:tcPr>
          <w:p w14:paraId="0218F1EC">
            <w:pPr>
              <w:spacing w:line="400" w:lineRule="exact"/>
              <w:jc w:val="left"/>
              <w:rPr>
                <w:rFonts w:hint="eastAsia" w:ascii="宋体" w:hAnsi="宋体" w:eastAsia="宋体" w:cs="宋体"/>
                <w:b/>
                <w:bCs/>
                <w:i w:val="0"/>
                <w:iCs w:val="0"/>
                <w:caps w:val="0"/>
                <w:color w:val="0F1115"/>
                <w:spacing w:val="0"/>
                <w:sz w:val="21"/>
                <w:szCs w:val="21"/>
                <w:shd w:val="clear" w:fill="FFFFFF"/>
              </w:rPr>
            </w:pPr>
            <w:r>
              <w:rPr>
                <w:rFonts w:hint="eastAsia" w:ascii="宋体" w:hAnsi="宋体" w:eastAsia="宋体" w:cs="宋体"/>
                <w:b/>
                <w:bCs/>
                <w:i w:val="0"/>
                <w:iCs w:val="0"/>
                <w:caps w:val="0"/>
                <w:color w:val="0F1115"/>
                <w:spacing w:val="0"/>
                <w:sz w:val="21"/>
                <w:szCs w:val="21"/>
                <w:shd w:val="clear" w:fill="FFFFFF"/>
              </w:rPr>
              <w:t>推荐意见</w:t>
            </w:r>
          </w:p>
        </w:tc>
        <w:tc>
          <w:tcPr>
            <w:tcW w:w="7653" w:type="dxa"/>
            <w:vAlign w:val="center"/>
          </w:tcPr>
          <w:p w14:paraId="43E92E17">
            <w:pPr>
              <w:spacing w:line="400" w:lineRule="exact"/>
              <w:ind w:left="0" w:firstLine="420" w:firstLineChars="200"/>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本项目围绕海洋磷脂南极磷虾油脂质体递送关键技术及临床转化，针对传统脂质体包埋工艺粒径不均一、活性成分生物利用度低等瓶颈，发明了基于海洋磷脂的纳米脂质体包埋与靶向递送技术，构建了从南极磷虾油高纯提取、磷脂纯化到脂质体制备、质量控制的全链条技术体系。核心技术获授权发明专利，实现叶黄素酯等营养成分的高效包埋与靶向递送，包封率及吸收效率显著优于传统制剂。项目完成相关临床研究，验证了产品安全性与有效性，成果发表于国际权威期刊。技术已实现产业化，开发出海洋磷脂南极磷虾油叶黄素酯等产品，通过国际权威认证，市场反馈良好。</w:t>
            </w:r>
          </w:p>
          <w:p w14:paraId="71CA4B59">
            <w:pPr>
              <w:spacing w:line="400" w:lineRule="exact"/>
              <w:ind w:firstLine="420" w:firstLineChars="200"/>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color w:val="auto"/>
                <w:kern w:val="2"/>
                <w:sz w:val="21"/>
                <w:szCs w:val="21"/>
              </w:rPr>
              <w:t>该成果创新性突出，应用效果显著，对提升我国海洋生物资源高值化利用水平、推动海洋磷脂在功能食品等领域的应用、促进海洋标准化体系建设具有重要意义，行业带动作用强。对照自然资源科学技术奖授奖条件，同意推荐其申报2026年自然资源科学技术奖科技进步特等奖或一等奖。</w:t>
            </w:r>
          </w:p>
        </w:tc>
      </w:tr>
      <w:tr w14:paraId="69F59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1" w:hRule="atLeast"/>
          <w:jc w:val="center"/>
        </w:trPr>
        <w:tc>
          <w:tcPr>
            <w:tcW w:w="1534" w:type="dxa"/>
            <w:vAlign w:val="center"/>
          </w:tcPr>
          <w:p w14:paraId="79B28928">
            <w:pPr>
              <w:snapToGrid w:val="0"/>
              <w:jc w:val="left"/>
              <w:rPr>
                <w:rFonts w:hint="eastAsia" w:ascii="宋体" w:hAnsi="宋体" w:eastAsia="宋体" w:cs="宋体"/>
                <w:b/>
                <w:bCs/>
                <w:sz w:val="21"/>
                <w:szCs w:val="21"/>
              </w:rPr>
            </w:pPr>
            <w:r>
              <w:rPr>
                <w:rFonts w:hint="eastAsia" w:ascii="宋体" w:hAnsi="宋体" w:eastAsia="宋体" w:cs="宋体"/>
                <w:b/>
                <w:bCs/>
                <w:sz w:val="21"/>
                <w:szCs w:val="21"/>
              </w:rPr>
              <w:t>成果简介</w:t>
            </w:r>
          </w:p>
        </w:tc>
        <w:tc>
          <w:tcPr>
            <w:tcW w:w="7653" w:type="dxa"/>
            <w:vAlign w:val="center"/>
          </w:tcPr>
          <w:p w14:paraId="264081EA">
            <w:pPr>
              <w:spacing w:line="400" w:lineRule="exact"/>
              <w:ind w:firstLine="420" w:firstLineChars="200"/>
              <w:jc w:val="both"/>
              <w:rPr>
                <w:rFonts w:hint="eastAsia" w:ascii="宋体" w:hAnsi="宋体" w:eastAsia="宋体" w:cs="宋体"/>
                <w:sz w:val="21"/>
                <w:szCs w:val="21"/>
              </w:rPr>
            </w:pPr>
            <w:r>
              <w:rPr>
                <w:rFonts w:hint="eastAsia" w:ascii="宋体" w:hAnsi="宋体" w:eastAsia="宋体" w:cs="宋体"/>
                <w:i w:val="0"/>
                <w:iCs w:val="0"/>
                <w:caps w:val="0"/>
                <w:color w:val="0F1115"/>
                <w:spacing w:val="0"/>
                <w:sz w:val="21"/>
                <w:szCs w:val="21"/>
                <w:shd w:val="clear" w:fill="FFFFFF"/>
              </w:rPr>
              <w:t>本项目围绕海洋磷脂南极磷虾油脂质体递送关键技术及临床转化，针对传统脂质体包埋工艺粒径不均一、活性成分生物利用度低等瓶颈，发明了基于海洋磷脂的纳米脂质体包埋与靶向递送技术，构建了从南极磷虾油高纯提取、磷脂纯化到脂质体制备、质量控制的全链条技术体系。核心技术获授权发明专利，实现叶黄素酯等营养成分的高效包埋与靶向递送，包封率及吸收效率等关键指标显著优于传统制剂。项目完成了相关临床研究，验证了产品安全性与有效性，成果发表于国际权威期刊。技术已实现产业化，开发出海洋磷脂南极磷虾油叶黄素酯等产品，通过国际权威认证，市场反馈良好。项目参与制定行业标准，构建自主知识产权体系，对提升我国海洋生物资源高值化利用和眼脑健康产业发展具有重要意义。</w:t>
            </w:r>
          </w:p>
        </w:tc>
      </w:tr>
      <w:tr w14:paraId="73B58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1534" w:type="dxa"/>
            <w:vAlign w:val="center"/>
          </w:tcPr>
          <w:p w14:paraId="248F21D6">
            <w:pPr>
              <w:snapToGrid w:val="0"/>
              <w:jc w:val="left"/>
              <w:rPr>
                <w:rFonts w:hint="eastAsia" w:ascii="宋体" w:hAnsi="宋体" w:eastAsia="宋体" w:cs="宋体"/>
                <w:b/>
                <w:bCs/>
                <w:sz w:val="21"/>
                <w:szCs w:val="21"/>
              </w:rPr>
            </w:pPr>
            <w:r>
              <w:rPr>
                <w:rFonts w:hint="eastAsia" w:ascii="宋体" w:hAnsi="宋体" w:eastAsia="宋体" w:cs="宋体"/>
                <w:b/>
                <w:bCs/>
                <w:sz w:val="21"/>
                <w:szCs w:val="21"/>
              </w:rPr>
              <w:t>客观评价</w:t>
            </w:r>
          </w:p>
        </w:tc>
        <w:tc>
          <w:tcPr>
            <w:tcW w:w="7653" w:type="dxa"/>
            <w:vAlign w:val="center"/>
          </w:tcPr>
          <w:p w14:paraId="201148D6">
            <w:pPr>
              <w:spacing w:line="400" w:lineRule="exact"/>
              <w:ind w:firstLine="420" w:firstLineChars="200"/>
              <w:jc w:val="both"/>
              <w:rPr>
                <w:rFonts w:hint="eastAsia" w:ascii="宋体" w:hAnsi="宋体" w:eastAsia="宋体" w:cs="宋体"/>
                <w:sz w:val="21"/>
                <w:szCs w:val="21"/>
              </w:rPr>
            </w:pPr>
            <w:r>
              <w:rPr>
                <w:rFonts w:hint="eastAsia" w:ascii="宋体" w:hAnsi="宋体" w:eastAsia="宋体" w:cs="宋体"/>
                <w:i w:val="0"/>
                <w:iCs w:val="0"/>
                <w:caps w:val="0"/>
                <w:color w:val="0F1115"/>
                <w:spacing w:val="0"/>
                <w:sz w:val="21"/>
                <w:szCs w:val="21"/>
                <w:shd w:val="clear" w:fill="FFFFFF"/>
              </w:rPr>
              <w:t>经第三方权威机构检测及专家组评价，该项目技术路线先进，创新性强，攻克了叶黄素酯稳定性差、吸收率低的技术难题，建立了从原料到制剂的全链条技术体系并实现产业化。成果已实现市场转化，经济社会效益显著，对推动海洋磷脂在功能食品等领域的应用、提升我国南极磷虾资源高值化利用水平具有重要价值。建议进一步加大推广力度，拓展应用领域。</w:t>
            </w:r>
          </w:p>
        </w:tc>
      </w:tr>
      <w:tr w14:paraId="34E23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1534" w:type="dxa"/>
            <w:vMerge w:val="restart"/>
            <w:vAlign w:val="center"/>
          </w:tcPr>
          <w:p w14:paraId="51AAA415">
            <w:pPr>
              <w:snapToGrid w:val="0"/>
              <w:jc w:val="left"/>
              <w:rPr>
                <w:rFonts w:hint="eastAsia" w:ascii="宋体" w:hAnsi="宋体" w:eastAsia="宋体" w:cs="宋体"/>
                <w:b/>
                <w:bCs/>
                <w:i w:val="0"/>
                <w:iCs w:val="0"/>
                <w:caps w:val="0"/>
                <w:color w:val="0F1115"/>
                <w:spacing w:val="0"/>
                <w:kern w:val="2"/>
                <w:sz w:val="21"/>
                <w:szCs w:val="21"/>
                <w:shd w:val="clear" w:fill="FFFFFF"/>
                <w:lang w:val="en-US" w:eastAsia="zh-CN" w:bidi="ar-SA"/>
              </w:rPr>
            </w:pPr>
            <w:r>
              <w:rPr>
                <w:rFonts w:hint="eastAsia" w:ascii="宋体" w:hAnsi="宋体" w:eastAsia="宋体" w:cs="宋体"/>
                <w:b/>
                <w:bCs/>
                <w:i w:val="0"/>
                <w:iCs w:val="0"/>
                <w:caps w:val="0"/>
                <w:color w:val="0F1115"/>
                <w:spacing w:val="0"/>
                <w:kern w:val="2"/>
                <w:sz w:val="21"/>
                <w:szCs w:val="21"/>
                <w:shd w:val="clear" w:fill="FFFFFF"/>
                <w:lang w:val="en-US" w:eastAsia="zh-CN" w:bidi="ar-SA"/>
              </w:rPr>
              <w:t>主要知识产权目录</w:t>
            </w:r>
          </w:p>
        </w:tc>
        <w:tc>
          <w:tcPr>
            <w:tcW w:w="7653" w:type="dxa"/>
            <w:vAlign w:val="center"/>
          </w:tcPr>
          <w:p w14:paraId="76F3C7DA">
            <w:pPr>
              <w:pStyle w:val="4"/>
              <w:spacing w:line="240" w:lineRule="auto"/>
              <w:jc w:val="both"/>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一种纳米脂质载体制备的包埋设备发明专利ZL202411661233.6济南极源生物科技有限公司</w:t>
            </w:r>
          </w:p>
        </w:tc>
      </w:tr>
      <w:tr w14:paraId="73E5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1534" w:type="dxa"/>
            <w:vMerge w:val="continue"/>
            <w:vAlign w:val="center"/>
          </w:tcPr>
          <w:p w14:paraId="4361B882">
            <w:pPr>
              <w:snapToGrid w:val="0"/>
              <w:jc w:val="center"/>
              <w:rPr>
                <w:rFonts w:hint="eastAsia" w:ascii="宋体" w:hAnsi="宋体" w:eastAsia="宋体" w:cs="宋体"/>
                <w:i w:val="0"/>
                <w:iCs w:val="0"/>
                <w:caps w:val="0"/>
                <w:color w:val="0F1115"/>
                <w:spacing w:val="0"/>
                <w:kern w:val="2"/>
                <w:sz w:val="21"/>
                <w:szCs w:val="21"/>
                <w:shd w:val="clear" w:fill="FFFFFF"/>
                <w:lang w:val="en-US" w:eastAsia="zh-CN" w:bidi="ar-SA"/>
              </w:rPr>
            </w:pPr>
          </w:p>
        </w:tc>
        <w:tc>
          <w:tcPr>
            <w:tcW w:w="7653" w:type="dxa"/>
            <w:vAlign w:val="center"/>
          </w:tcPr>
          <w:p w14:paraId="173BCAE6">
            <w:pPr>
              <w:pStyle w:val="4"/>
              <w:spacing w:line="240" w:lineRule="auto"/>
              <w:ind w:firstLine="420" w:firstLineChars="200"/>
              <w:jc w:val="both"/>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一种磷虾油脂质体加工用胶体磨实用新型CN223440021U济南极源生物科技有限公司</w:t>
            </w:r>
          </w:p>
        </w:tc>
      </w:tr>
      <w:tr w14:paraId="65AF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1534" w:type="dxa"/>
            <w:vMerge w:val="continue"/>
            <w:vAlign w:val="center"/>
          </w:tcPr>
          <w:p w14:paraId="4D67000D">
            <w:pPr>
              <w:snapToGrid w:val="0"/>
              <w:jc w:val="center"/>
              <w:rPr>
                <w:rFonts w:hint="eastAsia" w:ascii="宋体" w:hAnsi="宋体" w:eastAsia="宋体" w:cs="宋体"/>
                <w:i w:val="0"/>
                <w:iCs w:val="0"/>
                <w:caps w:val="0"/>
                <w:color w:val="0F1115"/>
                <w:spacing w:val="0"/>
                <w:kern w:val="2"/>
                <w:sz w:val="21"/>
                <w:szCs w:val="21"/>
                <w:shd w:val="clear" w:fill="FFFFFF"/>
                <w:lang w:val="en-US" w:eastAsia="zh-CN" w:bidi="ar-SA"/>
              </w:rPr>
            </w:pPr>
          </w:p>
        </w:tc>
        <w:tc>
          <w:tcPr>
            <w:tcW w:w="7653" w:type="dxa"/>
            <w:vAlign w:val="center"/>
          </w:tcPr>
          <w:p w14:paraId="7A44A225">
            <w:pPr>
              <w:pStyle w:val="4"/>
              <w:spacing w:line="240" w:lineRule="auto"/>
              <w:ind w:firstLine="420" w:firstLineChars="200"/>
              <w:jc w:val="both"/>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一种南极磷虾油高磷脂提取浓缩设备实用新型CN224047309U济南极源生物科技有限公司</w:t>
            </w:r>
          </w:p>
        </w:tc>
      </w:tr>
      <w:tr w14:paraId="19B3D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1534" w:type="dxa"/>
            <w:vMerge w:val="continue"/>
            <w:vAlign w:val="center"/>
          </w:tcPr>
          <w:p w14:paraId="6049A8BD">
            <w:pPr>
              <w:snapToGrid w:val="0"/>
              <w:jc w:val="center"/>
              <w:rPr>
                <w:rFonts w:hint="eastAsia" w:ascii="宋体" w:hAnsi="宋体" w:eastAsia="宋体" w:cs="宋体"/>
                <w:i w:val="0"/>
                <w:iCs w:val="0"/>
                <w:caps w:val="0"/>
                <w:color w:val="0F1115"/>
                <w:spacing w:val="0"/>
                <w:kern w:val="2"/>
                <w:sz w:val="21"/>
                <w:szCs w:val="21"/>
                <w:shd w:val="clear" w:fill="FFFFFF"/>
                <w:lang w:val="en-US" w:eastAsia="zh-CN" w:bidi="ar-SA"/>
              </w:rPr>
            </w:pPr>
          </w:p>
        </w:tc>
        <w:tc>
          <w:tcPr>
            <w:tcW w:w="7653" w:type="dxa"/>
            <w:vAlign w:val="center"/>
          </w:tcPr>
          <w:p w14:paraId="464A5325">
            <w:pPr>
              <w:pStyle w:val="4"/>
              <w:spacing w:line="240" w:lineRule="auto"/>
              <w:ind w:firstLine="420" w:firstLineChars="200"/>
              <w:jc w:val="both"/>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一种高磷脂磷虾油制备乳化装置实用新型CN224194624U济南极源生物科技有限公司</w:t>
            </w:r>
          </w:p>
        </w:tc>
      </w:tr>
      <w:tr w14:paraId="4B49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1534" w:type="dxa"/>
            <w:vMerge w:val="continue"/>
            <w:vAlign w:val="center"/>
          </w:tcPr>
          <w:p w14:paraId="5577C7E3">
            <w:pPr>
              <w:snapToGrid w:val="0"/>
              <w:jc w:val="center"/>
              <w:rPr>
                <w:rFonts w:hint="eastAsia" w:ascii="宋体" w:hAnsi="宋体" w:eastAsia="宋体" w:cs="宋体"/>
                <w:i w:val="0"/>
                <w:iCs w:val="0"/>
                <w:caps w:val="0"/>
                <w:color w:val="0F1115"/>
                <w:spacing w:val="0"/>
                <w:kern w:val="2"/>
                <w:sz w:val="21"/>
                <w:szCs w:val="21"/>
                <w:shd w:val="clear" w:fill="FFFFFF"/>
                <w:lang w:val="en-US" w:eastAsia="zh-CN" w:bidi="ar-SA"/>
              </w:rPr>
            </w:pPr>
          </w:p>
        </w:tc>
        <w:tc>
          <w:tcPr>
            <w:tcW w:w="7653" w:type="dxa"/>
            <w:vAlign w:val="center"/>
          </w:tcPr>
          <w:p w14:paraId="35AD5E8E">
            <w:pPr>
              <w:pStyle w:val="4"/>
              <w:spacing w:line="240" w:lineRule="auto"/>
              <w:ind w:firstLine="420" w:firstLineChars="200"/>
              <w:jc w:val="both"/>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一种具有高效乳化包埋的原料盒实用新型CN222861485U济南极源生物科技有限公司</w:t>
            </w:r>
          </w:p>
        </w:tc>
      </w:tr>
      <w:tr w14:paraId="381F5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1534" w:type="dxa"/>
            <w:vMerge w:val="continue"/>
            <w:vAlign w:val="center"/>
          </w:tcPr>
          <w:p w14:paraId="18CB193C">
            <w:pPr>
              <w:snapToGrid w:val="0"/>
              <w:jc w:val="center"/>
              <w:rPr>
                <w:rFonts w:hint="eastAsia" w:ascii="宋体" w:hAnsi="宋体" w:eastAsia="宋体" w:cs="宋体"/>
                <w:i w:val="0"/>
                <w:iCs w:val="0"/>
                <w:caps w:val="0"/>
                <w:color w:val="0F1115"/>
                <w:spacing w:val="0"/>
                <w:kern w:val="2"/>
                <w:sz w:val="21"/>
                <w:szCs w:val="21"/>
                <w:shd w:val="clear" w:fill="FFFFFF"/>
                <w:lang w:val="en-US" w:eastAsia="zh-CN" w:bidi="ar-SA"/>
              </w:rPr>
            </w:pPr>
          </w:p>
        </w:tc>
        <w:tc>
          <w:tcPr>
            <w:tcW w:w="7653" w:type="dxa"/>
            <w:vAlign w:val="center"/>
          </w:tcPr>
          <w:p w14:paraId="499E38AC">
            <w:pPr>
              <w:pStyle w:val="4"/>
              <w:spacing w:line="240" w:lineRule="auto"/>
              <w:ind w:firstLine="420" w:firstLineChars="200"/>
              <w:jc w:val="both"/>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一种便于抽样的肠道菌群磷脂磷虾油的发酵装置实用新型CN224148034U济南极源生物科技</w:t>
            </w:r>
            <w:r>
              <w:rPr>
                <w:rFonts w:hint="eastAsia" w:ascii="宋体" w:hAnsi="宋体" w:eastAsia="宋体" w:cs="宋体"/>
                <w:i w:val="0"/>
                <w:iCs w:val="0"/>
                <w:caps w:val="0"/>
                <w:color w:val="0F1115"/>
                <w:spacing w:val="0"/>
                <w:sz w:val="21"/>
                <w:szCs w:val="21"/>
                <w:shd w:val="clear" w:fill="FFFFFF"/>
                <w:lang w:val="en-US" w:eastAsia="zh-CN"/>
              </w:rPr>
              <w:t>有限公司</w:t>
            </w:r>
          </w:p>
        </w:tc>
      </w:tr>
      <w:tr w14:paraId="64134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1534" w:type="dxa"/>
            <w:vMerge w:val="continue"/>
            <w:vAlign w:val="center"/>
          </w:tcPr>
          <w:p w14:paraId="2620EE4B">
            <w:pPr>
              <w:snapToGrid w:val="0"/>
              <w:jc w:val="center"/>
              <w:rPr>
                <w:rFonts w:hint="eastAsia" w:ascii="宋体" w:hAnsi="宋体" w:eastAsia="宋体" w:cs="宋体"/>
                <w:i w:val="0"/>
                <w:iCs w:val="0"/>
                <w:caps w:val="0"/>
                <w:color w:val="0F1115"/>
                <w:spacing w:val="0"/>
                <w:kern w:val="2"/>
                <w:sz w:val="21"/>
                <w:szCs w:val="21"/>
                <w:shd w:val="clear" w:fill="FFFFFF"/>
                <w:lang w:val="en-US" w:eastAsia="zh-CN" w:bidi="ar-SA"/>
              </w:rPr>
            </w:pPr>
          </w:p>
        </w:tc>
        <w:tc>
          <w:tcPr>
            <w:tcW w:w="7653" w:type="dxa"/>
            <w:vAlign w:val="center"/>
          </w:tcPr>
          <w:p w14:paraId="17E7EA99">
            <w:pPr>
              <w:pStyle w:val="4"/>
              <w:spacing w:line="240" w:lineRule="auto"/>
              <w:ind w:firstLine="420" w:firstLineChars="200"/>
              <w:jc w:val="both"/>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磷脂磷虾油生产工艺优化分析软件软件著作权V1.02025SR0886872济南极源生物科技有限公司</w:t>
            </w:r>
          </w:p>
        </w:tc>
      </w:tr>
    </w:tbl>
    <w:p w14:paraId="2ACB2CAC">
      <w:pPr>
        <w:widowControl/>
        <w:jc w:val="left"/>
        <w:rPr>
          <w:rFonts w:hint="eastAsia" w:ascii="宋体" w:hAnsi="宋体" w:eastAsia="宋体" w:cs="宋体"/>
          <w:i w:val="0"/>
          <w:iCs w:val="0"/>
          <w:caps w:val="0"/>
          <w:color w:val="0F1115"/>
          <w:spacing w:val="0"/>
          <w:kern w:val="2"/>
          <w:sz w:val="21"/>
          <w:szCs w:val="21"/>
          <w:shd w:val="clear" w:fill="FFFFFF"/>
          <w:lang w:val="en-US" w:eastAsia="zh-CN" w:bidi="ar-SA"/>
        </w:rPr>
      </w:pPr>
    </w:p>
    <w:sectPr>
      <w:footerReference r:id="rId3" w:type="default"/>
      <w:pgSz w:w="11906" w:h="16838"/>
      <w:pgMar w:top="1440" w:right="1440" w:bottom="1440" w:left="1440"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E5899">
    <w:pPr>
      <w:pStyle w:val="7"/>
      <w:jc w:val="center"/>
    </w:pPr>
    <w:r>
      <mc:AlternateContent>
        <mc:Choice Requires="wps">
          <w:drawing>
            <wp:anchor distT="0" distB="0" distL="114300" distR="114300" simplePos="0" relativeHeight="251659264" behindDoc="0" locked="0" layoutInCell="1" allowOverlap="1">
              <wp:simplePos x="0" y="0"/>
              <wp:positionH relativeFrom="margin">
                <wp:posOffset>5334000</wp:posOffset>
              </wp:positionH>
              <wp:positionV relativeFrom="paragraph">
                <wp:posOffset>0</wp:posOffset>
              </wp:positionV>
              <wp:extent cx="534035" cy="384175"/>
              <wp:effectExtent l="0" t="0" r="0" b="9525"/>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34035" cy="384175"/>
                      </a:xfrm>
                      <a:prstGeom prst="rect">
                        <a:avLst/>
                      </a:prstGeom>
                      <a:noFill/>
                      <a:ln>
                        <a:noFill/>
                      </a:ln>
                    </wps:spPr>
                    <wps:txbx>
                      <w:txbxContent>
                        <w:p w14:paraId="3FFFC0D3">
                          <w:pPr>
                            <w:pStyle w:val="7"/>
                            <w:jc w:val="both"/>
                            <w:rPr>
                              <w:rStyle w:val="14"/>
                              <w:rFonts w:ascii="宋体" w:hAnsi="宋体" w:cs="宋体"/>
                              <w:sz w:val="28"/>
                              <w:szCs w:val="28"/>
                            </w:rPr>
                          </w:pPr>
                          <w:r>
                            <w:rPr>
                              <w:rFonts w:hint="eastAsia" w:ascii="宋体" w:hAnsi="宋体" w:cs="宋体"/>
                              <w:sz w:val="28"/>
                              <w:szCs w:val="28"/>
                            </w:rPr>
                            <w:fldChar w:fldCharType="begin"/>
                          </w:r>
                          <w:r>
                            <w:rPr>
                              <w:rStyle w:val="14"/>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4"/>
                              <w:rFonts w:ascii="宋体" w:hAnsi="宋体" w:cs="宋体"/>
                              <w:sz w:val="28"/>
                              <w:szCs w:val="28"/>
                            </w:rPr>
                            <w:t>- 1 -</w:t>
                          </w:r>
                          <w:r>
                            <w:rPr>
                              <w:rFonts w:hint="eastAsia" w:ascii="宋体" w:hAnsi="宋体" w:cs="宋体"/>
                              <w:sz w:val="28"/>
                              <w:szCs w:val="28"/>
                            </w:rPr>
                            <w:fldChar w:fldCharType="end"/>
                          </w:r>
                        </w:p>
                        <w:p w14:paraId="05BE8CF5"/>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20pt;margin-top:0pt;height:30.25pt;width:42.05pt;mso-position-horizontal-relative:margin;mso-wrap-style:none;z-index:251659264;mso-width-relative:page;mso-height-relative:page;" filled="f" stroked="f" coordsize="21600,21600" o:gfxdata="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gdtazVAAAABwEAAA8AAAAAAAAAAQAgAAAAIgAA&#10;AGRycy9kb3ducmV2LnhtbFBLAQIUABQAAAAIAIdO4kC96CNCCwIAAAIEAAAOAAAAAAAAAAEAIAAA&#10;ACQBAABkcnMvZTJvRG9jLnhtbFBLBQYAAAAABgAGAFkBAAChBQAAAAA=&#10;">
              <v:fill on="f" focussize="0,0"/>
              <v:stroke on="f"/>
              <v:imagedata o:title=""/>
              <o:lock v:ext="edit" aspectratio="f"/>
              <v:textbox inset="0mm,0mm,0mm,0mm" style="mso-fit-shape-to-text:t;">
                <w:txbxContent>
                  <w:p w14:paraId="3FFFC0D3">
                    <w:pPr>
                      <w:pStyle w:val="7"/>
                      <w:jc w:val="both"/>
                      <w:rPr>
                        <w:rStyle w:val="14"/>
                        <w:rFonts w:ascii="宋体" w:hAnsi="宋体" w:cs="宋体"/>
                        <w:sz w:val="28"/>
                        <w:szCs w:val="28"/>
                      </w:rPr>
                    </w:pPr>
                    <w:r>
                      <w:rPr>
                        <w:rFonts w:hint="eastAsia" w:ascii="宋体" w:hAnsi="宋体" w:cs="宋体"/>
                        <w:sz w:val="28"/>
                        <w:szCs w:val="28"/>
                      </w:rPr>
                      <w:fldChar w:fldCharType="begin"/>
                    </w:r>
                    <w:r>
                      <w:rPr>
                        <w:rStyle w:val="14"/>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4"/>
                        <w:rFonts w:ascii="宋体" w:hAnsi="宋体" w:cs="宋体"/>
                        <w:sz w:val="28"/>
                        <w:szCs w:val="28"/>
                      </w:rPr>
                      <w:t>- 1 -</w:t>
                    </w:r>
                    <w:r>
                      <w:rPr>
                        <w:rFonts w:hint="eastAsia" w:ascii="宋体" w:hAnsi="宋体" w:cs="宋体"/>
                        <w:sz w:val="28"/>
                        <w:szCs w:val="28"/>
                      </w:rPr>
                      <w:fldChar w:fldCharType="end"/>
                    </w:r>
                  </w:p>
                  <w:p w14:paraId="05BE8CF5"/>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95A"/>
    <w:rsid w:val="00003708"/>
    <w:rsid w:val="00036537"/>
    <w:rsid w:val="00080269"/>
    <w:rsid w:val="000959FC"/>
    <w:rsid w:val="00095A71"/>
    <w:rsid w:val="000B1C55"/>
    <w:rsid w:val="000C2908"/>
    <w:rsid w:val="000C2D2F"/>
    <w:rsid w:val="000D0155"/>
    <w:rsid w:val="000E5230"/>
    <w:rsid w:val="000E5B9A"/>
    <w:rsid w:val="000E640E"/>
    <w:rsid w:val="000F02CD"/>
    <w:rsid w:val="000F1EF7"/>
    <w:rsid w:val="001000CF"/>
    <w:rsid w:val="001023DA"/>
    <w:rsid w:val="00105906"/>
    <w:rsid w:val="00122C7E"/>
    <w:rsid w:val="001240B6"/>
    <w:rsid w:val="001241D6"/>
    <w:rsid w:val="001342E5"/>
    <w:rsid w:val="00145C70"/>
    <w:rsid w:val="00155455"/>
    <w:rsid w:val="001605A3"/>
    <w:rsid w:val="001749C9"/>
    <w:rsid w:val="001A2255"/>
    <w:rsid w:val="001C4FF0"/>
    <w:rsid w:val="001E5C71"/>
    <w:rsid w:val="001F4357"/>
    <w:rsid w:val="00225FBE"/>
    <w:rsid w:val="00232232"/>
    <w:rsid w:val="00271925"/>
    <w:rsid w:val="0027498D"/>
    <w:rsid w:val="002A1895"/>
    <w:rsid w:val="002A7752"/>
    <w:rsid w:val="002B55AD"/>
    <w:rsid w:val="002C7984"/>
    <w:rsid w:val="002D495A"/>
    <w:rsid w:val="002D5360"/>
    <w:rsid w:val="002D5421"/>
    <w:rsid w:val="002E11FC"/>
    <w:rsid w:val="002F2BA0"/>
    <w:rsid w:val="002F2E35"/>
    <w:rsid w:val="002F4BBF"/>
    <w:rsid w:val="0030207A"/>
    <w:rsid w:val="00304317"/>
    <w:rsid w:val="00324B95"/>
    <w:rsid w:val="00335243"/>
    <w:rsid w:val="00335CF6"/>
    <w:rsid w:val="003543E2"/>
    <w:rsid w:val="00355235"/>
    <w:rsid w:val="003618CB"/>
    <w:rsid w:val="00363B58"/>
    <w:rsid w:val="00363E73"/>
    <w:rsid w:val="003650B7"/>
    <w:rsid w:val="003A7B7F"/>
    <w:rsid w:val="003B1236"/>
    <w:rsid w:val="003C2D63"/>
    <w:rsid w:val="003D2823"/>
    <w:rsid w:val="0040006E"/>
    <w:rsid w:val="00405E74"/>
    <w:rsid w:val="0041300E"/>
    <w:rsid w:val="00424599"/>
    <w:rsid w:val="00424827"/>
    <w:rsid w:val="00430699"/>
    <w:rsid w:val="00431E48"/>
    <w:rsid w:val="00433CBE"/>
    <w:rsid w:val="00433E57"/>
    <w:rsid w:val="0044494F"/>
    <w:rsid w:val="00460169"/>
    <w:rsid w:val="00463562"/>
    <w:rsid w:val="00482F98"/>
    <w:rsid w:val="00496B4B"/>
    <w:rsid w:val="004A648A"/>
    <w:rsid w:val="004E7888"/>
    <w:rsid w:val="004F4CBD"/>
    <w:rsid w:val="005039CE"/>
    <w:rsid w:val="00511A13"/>
    <w:rsid w:val="00553AB5"/>
    <w:rsid w:val="00587609"/>
    <w:rsid w:val="0059566B"/>
    <w:rsid w:val="005D431C"/>
    <w:rsid w:val="005E415D"/>
    <w:rsid w:val="005F682D"/>
    <w:rsid w:val="00615181"/>
    <w:rsid w:val="006300A7"/>
    <w:rsid w:val="00632731"/>
    <w:rsid w:val="00644642"/>
    <w:rsid w:val="00655D5D"/>
    <w:rsid w:val="00664CFA"/>
    <w:rsid w:val="0067381B"/>
    <w:rsid w:val="00681E39"/>
    <w:rsid w:val="006A0A3B"/>
    <w:rsid w:val="006B2D1F"/>
    <w:rsid w:val="006E424B"/>
    <w:rsid w:val="007006CB"/>
    <w:rsid w:val="0070314F"/>
    <w:rsid w:val="0070359F"/>
    <w:rsid w:val="00737507"/>
    <w:rsid w:val="007440BD"/>
    <w:rsid w:val="00745B07"/>
    <w:rsid w:val="00750A5F"/>
    <w:rsid w:val="00760129"/>
    <w:rsid w:val="00764E0E"/>
    <w:rsid w:val="00771B00"/>
    <w:rsid w:val="007A3F49"/>
    <w:rsid w:val="007C3F02"/>
    <w:rsid w:val="00833442"/>
    <w:rsid w:val="00855137"/>
    <w:rsid w:val="00862230"/>
    <w:rsid w:val="00867DDF"/>
    <w:rsid w:val="008C4D62"/>
    <w:rsid w:val="008E103B"/>
    <w:rsid w:val="008E2821"/>
    <w:rsid w:val="008E51C8"/>
    <w:rsid w:val="008E5FBB"/>
    <w:rsid w:val="008E62F7"/>
    <w:rsid w:val="009008EC"/>
    <w:rsid w:val="0090784A"/>
    <w:rsid w:val="00917134"/>
    <w:rsid w:val="009244BA"/>
    <w:rsid w:val="00971049"/>
    <w:rsid w:val="009A152B"/>
    <w:rsid w:val="009A5C88"/>
    <w:rsid w:val="009A7D7D"/>
    <w:rsid w:val="009D17A3"/>
    <w:rsid w:val="009D2684"/>
    <w:rsid w:val="00A02EA1"/>
    <w:rsid w:val="00A03867"/>
    <w:rsid w:val="00A1386F"/>
    <w:rsid w:val="00A252D5"/>
    <w:rsid w:val="00A274C7"/>
    <w:rsid w:val="00A33ECC"/>
    <w:rsid w:val="00A57C25"/>
    <w:rsid w:val="00A633AF"/>
    <w:rsid w:val="00A65E1C"/>
    <w:rsid w:val="00A678D4"/>
    <w:rsid w:val="00A67E32"/>
    <w:rsid w:val="00A97562"/>
    <w:rsid w:val="00AC170F"/>
    <w:rsid w:val="00AD2762"/>
    <w:rsid w:val="00B0275B"/>
    <w:rsid w:val="00B240A2"/>
    <w:rsid w:val="00B272A4"/>
    <w:rsid w:val="00B42C5A"/>
    <w:rsid w:val="00B51B49"/>
    <w:rsid w:val="00B552F0"/>
    <w:rsid w:val="00B635BB"/>
    <w:rsid w:val="00B74063"/>
    <w:rsid w:val="00BB0B3C"/>
    <w:rsid w:val="00BE1749"/>
    <w:rsid w:val="00C01722"/>
    <w:rsid w:val="00C1503B"/>
    <w:rsid w:val="00C20356"/>
    <w:rsid w:val="00C257C6"/>
    <w:rsid w:val="00C32665"/>
    <w:rsid w:val="00C44DFC"/>
    <w:rsid w:val="00C53039"/>
    <w:rsid w:val="00C55FF8"/>
    <w:rsid w:val="00C57970"/>
    <w:rsid w:val="00C73ADE"/>
    <w:rsid w:val="00C75EAA"/>
    <w:rsid w:val="00C820B6"/>
    <w:rsid w:val="00C843BC"/>
    <w:rsid w:val="00CB39F1"/>
    <w:rsid w:val="00CB5904"/>
    <w:rsid w:val="00CC7207"/>
    <w:rsid w:val="00CD164C"/>
    <w:rsid w:val="00CD72C8"/>
    <w:rsid w:val="00CE1A19"/>
    <w:rsid w:val="00CE2CC4"/>
    <w:rsid w:val="00CF5837"/>
    <w:rsid w:val="00CF7CE1"/>
    <w:rsid w:val="00D26ED4"/>
    <w:rsid w:val="00D355DD"/>
    <w:rsid w:val="00D45130"/>
    <w:rsid w:val="00D62384"/>
    <w:rsid w:val="00D751DA"/>
    <w:rsid w:val="00D87781"/>
    <w:rsid w:val="00DD3ED9"/>
    <w:rsid w:val="00DD6041"/>
    <w:rsid w:val="00DE359E"/>
    <w:rsid w:val="00DF639F"/>
    <w:rsid w:val="00E05A72"/>
    <w:rsid w:val="00E14A76"/>
    <w:rsid w:val="00E30997"/>
    <w:rsid w:val="00E31DE2"/>
    <w:rsid w:val="00E32327"/>
    <w:rsid w:val="00E4298F"/>
    <w:rsid w:val="00E53BB5"/>
    <w:rsid w:val="00E67C35"/>
    <w:rsid w:val="00E720A6"/>
    <w:rsid w:val="00E872E7"/>
    <w:rsid w:val="00EE0600"/>
    <w:rsid w:val="00EF6A6C"/>
    <w:rsid w:val="00F22718"/>
    <w:rsid w:val="00F25AED"/>
    <w:rsid w:val="00F3258A"/>
    <w:rsid w:val="00F356EB"/>
    <w:rsid w:val="00F37536"/>
    <w:rsid w:val="00F44EAC"/>
    <w:rsid w:val="00F476D9"/>
    <w:rsid w:val="00F61182"/>
    <w:rsid w:val="00F95726"/>
    <w:rsid w:val="00F95AF7"/>
    <w:rsid w:val="00FB5165"/>
    <w:rsid w:val="00FE2312"/>
    <w:rsid w:val="00FF373A"/>
    <w:rsid w:val="03AB0813"/>
    <w:rsid w:val="078B414B"/>
    <w:rsid w:val="125B51B3"/>
    <w:rsid w:val="1AE12B55"/>
    <w:rsid w:val="2197632B"/>
    <w:rsid w:val="24207C9D"/>
    <w:rsid w:val="28DF1A1B"/>
    <w:rsid w:val="3316648B"/>
    <w:rsid w:val="3A473250"/>
    <w:rsid w:val="3BD37EB9"/>
    <w:rsid w:val="5C647122"/>
    <w:rsid w:val="60AC3FD3"/>
    <w:rsid w:val="788F7DB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0"/>
    <w:pPr>
      <w:keepNext/>
      <w:jc w:val="center"/>
      <w:outlineLvl w:val="0"/>
    </w:pPr>
    <w:rPr>
      <w:rFonts w:ascii="仿宋_GB2312" w:hAnsi="Times New Roman" w:eastAsia="仿宋_GB2312" w:cs="Times New Roman"/>
      <w:kern w:val="0"/>
      <w:sz w:val="28"/>
      <w:szCs w:val="20"/>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8"/>
    <w:unhideWhenUsed/>
    <w:qFormat/>
    <w:uiPriority w:val="99"/>
    <w:pPr>
      <w:jc w:val="left"/>
    </w:pPr>
  </w:style>
  <w:style w:type="paragraph" w:styleId="4">
    <w:name w:val="Plain Text"/>
    <w:basedOn w:val="1"/>
    <w:link w:val="32"/>
    <w:qFormat/>
    <w:uiPriority w:val="0"/>
    <w:pPr>
      <w:spacing w:line="360" w:lineRule="auto"/>
      <w:ind w:firstLine="480" w:firstLineChars="200"/>
    </w:pPr>
    <w:rPr>
      <w:rFonts w:ascii="仿宋_GB2312" w:hAnsi="Times New Roman" w:eastAsia="宋体" w:cs="Times New Roman"/>
      <w:sz w:val="24"/>
      <w:szCs w:val="24"/>
    </w:rPr>
  </w:style>
  <w:style w:type="paragraph" w:styleId="5">
    <w:name w:val="Date"/>
    <w:basedOn w:val="1"/>
    <w:next w:val="1"/>
    <w:link w:val="19"/>
    <w:semiHidden/>
    <w:unhideWhenUsed/>
    <w:qFormat/>
    <w:uiPriority w:val="99"/>
    <w:pPr>
      <w:ind w:left="100" w:leftChars="2500"/>
    </w:pPr>
  </w:style>
  <w:style w:type="paragraph" w:styleId="6">
    <w:name w:val="Balloon Text"/>
    <w:basedOn w:val="1"/>
    <w:link w:val="25"/>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3"/>
    <w:next w:val="3"/>
    <w:link w:val="21"/>
    <w:unhideWhenUsed/>
    <w:qFormat/>
    <w:uiPriority w:val="99"/>
    <w:rPr>
      <w:b/>
      <w:bCs/>
      <w:szCs w:val="24"/>
    </w:rPr>
  </w:style>
  <w:style w:type="table" w:styleId="12">
    <w:name w:val="Table Grid"/>
    <w:basedOn w:val="11"/>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Hyperlink"/>
    <w:basedOn w:val="13"/>
    <w:unhideWhenUsed/>
    <w:qFormat/>
    <w:uiPriority w:val="99"/>
    <w:rPr>
      <w:color w:val="0000FF" w:themeColor="hyperlink"/>
      <w:u w:val="single"/>
      <w14:textFill>
        <w14:solidFill>
          <w14:schemeClr w14:val="hlink"/>
        </w14:solidFill>
      </w14:textFill>
    </w:rPr>
  </w:style>
  <w:style w:type="character" w:styleId="16">
    <w:name w:val="annotation reference"/>
    <w:unhideWhenUsed/>
    <w:qFormat/>
    <w:uiPriority w:val="99"/>
    <w:rPr>
      <w:sz w:val="21"/>
      <w:szCs w:val="21"/>
    </w:rPr>
  </w:style>
  <w:style w:type="character" w:customStyle="1" w:styleId="17">
    <w:name w:val="页眉 Char"/>
    <w:basedOn w:val="13"/>
    <w:link w:val="8"/>
    <w:qFormat/>
    <w:uiPriority w:val="99"/>
    <w:rPr>
      <w:sz w:val="18"/>
      <w:szCs w:val="18"/>
    </w:rPr>
  </w:style>
  <w:style w:type="character" w:customStyle="1" w:styleId="18">
    <w:name w:val="页脚 Char"/>
    <w:basedOn w:val="13"/>
    <w:link w:val="7"/>
    <w:qFormat/>
    <w:uiPriority w:val="99"/>
    <w:rPr>
      <w:sz w:val="18"/>
      <w:szCs w:val="18"/>
    </w:rPr>
  </w:style>
  <w:style w:type="character" w:customStyle="1" w:styleId="19">
    <w:name w:val="日期 Char"/>
    <w:basedOn w:val="13"/>
    <w:link w:val="5"/>
    <w:qFormat/>
    <w:uiPriority w:val="0"/>
  </w:style>
  <w:style w:type="character" w:customStyle="1" w:styleId="20">
    <w:name w:val="标题 1 Char"/>
    <w:basedOn w:val="13"/>
    <w:qFormat/>
    <w:uiPriority w:val="9"/>
    <w:rPr>
      <w:b/>
      <w:bCs/>
      <w:kern w:val="44"/>
      <w:sz w:val="44"/>
      <w:szCs w:val="44"/>
    </w:rPr>
  </w:style>
  <w:style w:type="character" w:customStyle="1" w:styleId="21">
    <w:name w:val="批注主题 Char1"/>
    <w:link w:val="10"/>
    <w:qFormat/>
    <w:uiPriority w:val="99"/>
    <w:rPr>
      <w:b/>
      <w:bCs/>
      <w:szCs w:val="24"/>
    </w:rPr>
  </w:style>
  <w:style w:type="character" w:customStyle="1" w:styleId="22">
    <w:name w:val="页眉 字符"/>
    <w:qFormat/>
    <w:uiPriority w:val="0"/>
    <w:rPr>
      <w:sz w:val="18"/>
      <w:szCs w:val="18"/>
    </w:rPr>
  </w:style>
  <w:style w:type="character" w:customStyle="1" w:styleId="23">
    <w:name w:val="页脚 字符"/>
    <w:qFormat/>
    <w:uiPriority w:val="99"/>
    <w:rPr>
      <w:sz w:val="18"/>
      <w:szCs w:val="18"/>
    </w:rPr>
  </w:style>
  <w:style w:type="character" w:customStyle="1" w:styleId="24">
    <w:name w:val="标题 1 Char1"/>
    <w:link w:val="2"/>
    <w:qFormat/>
    <w:uiPriority w:val="0"/>
    <w:rPr>
      <w:rFonts w:ascii="仿宋_GB2312" w:hAnsi="Times New Roman" w:eastAsia="仿宋_GB2312" w:cs="Times New Roman"/>
      <w:kern w:val="0"/>
      <w:sz w:val="28"/>
      <w:szCs w:val="20"/>
    </w:rPr>
  </w:style>
  <w:style w:type="character" w:customStyle="1" w:styleId="25">
    <w:name w:val="批注框文本 Char1"/>
    <w:link w:val="6"/>
    <w:qFormat/>
    <w:uiPriority w:val="99"/>
    <w:rPr>
      <w:sz w:val="18"/>
      <w:szCs w:val="18"/>
    </w:rPr>
  </w:style>
  <w:style w:type="character" w:customStyle="1" w:styleId="26">
    <w:name w:val="批注文字 字符"/>
    <w:semiHidden/>
    <w:qFormat/>
    <w:uiPriority w:val="99"/>
    <w:rPr>
      <w:kern w:val="2"/>
      <w:sz w:val="21"/>
      <w:szCs w:val="24"/>
    </w:rPr>
  </w:style>
  <w:style w:type="character" w:customStyle="1" w:styleId="27">
    <w:name w:val="font11"/>
    <w:qFormat/>
    <w:uiPriority w:val="0"/>
    <w:rPr>
      <w:rFonts w:hint="eastAsia" w:ascii="宋体" w:hAnsi="宋体" w:eastAsia="宋体" w:cs="宋体"/>
      <w:b/>
      <w:color w:val="000000"/>
      <w:sz w:val="32"/>
      <w:szCs w:val="32"/>
      <w:u w:val="none"/>
    </w:rPr>
  </w:style>
  <w:style w:type="character" w:customStyle="1" w:styleId="28">
    <w:name w:val="批注文字 Char"/>
    <w:basedOn w:val="13"/>
    <w:link w:val="3"/>
    <w:semiHidden/>
    <w:qFormat/>
    <w:uiPriority w:val="99"/>
  </w:style>
  <w:style w:type="character" w:customStyle="1" w:styleId="29">
    <w:name w:val="批注主题 Char"/>
    <w:basedOn w:val="28"/>
    <w:semiHidden/>
    <w:qFormat/>
    <w:uiPriority w:val="99"/>
    <w:rPr>
      <w:b/>
      <w:bCs/>
    </w:rPr>
  </w:style>
  <w:style w:type="character" w:customStyle="1" w:styleId="30">
    <w:name w:val="批注框文本 Char"/>
    <w:basedOn w:val="13"/>
    <w:semiHidden/>
    <w:qFormat/>
    <w:uiPriority w:val="99"/>
    <w:rPr>
      <w:sz w:val="18"/>
      <w:szCs w:val="18"/>
    </w:rPr>
  </w:style>
  <w:style w:type="paragraph" w:customStyle="1" w:styleId="31">
    <w:name w:val="日期1"/>
    <w:basedOn w:val="1"/>
    <w:next w:val="1"/>
    <w:qFormat/>
    <w:uiPriority w:val="0"/>
    <w:pPr>
      <w:ind w:left="100" w:leftChars="2500"/>
    </w:pPr>
    <w:rPr>
      <w:rFonts w:ascii="Times New Roman" w:hAnsi="Times New Roman" w:eastAsia="宋体" w:cs="Times New Roman"/>
      <w:szCs w:val="24"/>
    </w:rPr>
  </w:style>
  <w:style w:type="character" w:customStyle="1" w:styleId="32">
    <w:name w:val="纯文本 Char"/>
    <w:basedOn w:val="13"/>
    <w:link w:val="4"/>
    <w:qFormat/>
    <w:uiPriority w:val="0"/>
    <w:rPr>
      <w:rFonts w:ascii="仿宋_GB2312" w:hAnsi="Times New Roman" w:eastAsia="宋体" w:cs="Times New Roman"/>
      <w:sz w:val="24"/>
      <w:szCs w:val="24"/>
    </w:rPr>
  </w:style>
  <w:style w:type="paragraph" w:customStyle="1" w:styleId="33">
    <w:name w:val="Char"/>
    <w:basedOn w:val="1"/>
    <w:qFormat/>
    <w:uiPriority w:val="0"/>
    <w:pPr>
      <w:tabs>
        <w:tab w:val="left" w:pos="425"/>
      </w:tabs>
      <w:ind w:left="425" w:hanging="425"/>
    </w:pPr>
    <w:rPr>
      <w:rFonts w:ascii="Times New Roman" w:hAnsi="Times New Roman" w:eastAsia="宋体" w:cs="Times New Roman"/>
      <w:szCs w:val="24"/>
    </w:rPr>
  </w:style>
  <w:style w:type="paragraph" w:customStyle="1" w:styleId="34">
    <w:name w:val="列出段落1"/>
    <w:basedOn w:val="1"/>
    <w:qFormat/>
    <w:uiPriority w:val="0"/>
    <w:pPr>
      <w:ind w:firstLine="420" w:firstLineChars="200"/>
    </w:pPr>
    <w:rPr>
      <w:rFonts w:ascii="Calibri" w:hAnsi="Calibri" w:eastAsia="宋体" w:cs="Times New Roman"/>
    </w:rPr>
  </w:style>
  <w:style w:type="paragraph" w:styleId="35">
    <w:name w:val="List Paragraph"/>
    <w:basedOn w:val="1"/>
    <w:qFormat/>
    <w:uiPriority w:val="34"/>
    <w:pPr>
      <w:ind w:firstLine="420" w:firstLineChars="200"/>
    </w:pPr>
  </w:style>
  <w:style w:type="paragraph" w:customStyle="1" w:styleId="36">
    <w:name w:val="olistparagraph"/>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customStyle="1" w:styleId="37">
    <w:name w:val="onormal"/>
    <w:basedOn w:val="1"/>
    <w:qFormat/>
    <w:uiPriority w:val="0"/>
    <w:pPr>
      <w:spacing w:before="100" w:beforeAutospacing="1" w:after="100" w:afterAutospacing="1"/>
      <w:jc w:val="left"/>
    </w:pPr>
    <w:rPr>
      <w:rFonts w:ascii="Calibri" w:hAnsi="Calibri" w:eastAsia="宋体" w:cs="Times New Roman"/>
      <w:kern w:val="0"/>
      <w:sz w:val="24"/>
      <w:szCs w:val="24"/>
    </w:rPr>
  </w:style>
  <w:style w:type="character" w:customStyle="1" w:styleId="38">
    <w:name w:val="纯文本 Char1"/>
    <w:qFormat/>
    <w:locked/>
    <w:uiPriority w:val="0"/>
    <w:rPr>
      <w:rFonts w:hint="eastAsia" w:ascii="仿宋_GB2312" w:hAnsi="Calibri" w:eastAsia="仿宋_GB2312"/>
      <w:kern w:val="2"/>
      <w:sz w:val="24"/>
      <w:szCs w:val="24"/>
    </w:rPr>
  </w:style>
  <w:style w:type="paragraph" w:customStyle="1" w:styleId="39">
    <w:name w:val="sonormal"/>
    <w:basedOn w:val="1"/>
    <w:qFormat/>
    <w:uiPriority w:val="0"/>
    <w:pPr>
      <w:spacing w:before="100" w:beforeAutospacing="1" w:after="100" w:afterAutospacing="1"/>
      <w:jc w:val="left"/>
    </w:pPr>
    <w:rPr>
      <w:rFonts w:ascii="Calibri" w:hAnsi="Calibri" w:eastAsia="宋体" w:cs="Times New Roman"/>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hps</Company>
  <Pages>2</Pages>
  <Words>1239</Words>
  <Characters>1328</Characters>
  <Lines>16</Lines>
  <Paragraphs>4</Paragraphs>
  <TotalTime>0</TotalTime>
  <ScaleCrop>false</ScaleCrop>
  <LinksUpToDate>false</LinksUpToDate>
  <CharactersWithSpaces>1328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2024-05-21T06:29:00Z</dcterms:created>
  <dc:creator>宋莎莎</dc:creator>
  <cp:lastModifiedBy>练练</cp:lastModifiedBy>
  <cp:lastPrinted>2023-02-16T02:21:00Z</cp:lastPrinted>
  <dcterms:modified xsi:type="dcterms:W3CDTF">2026-10-08T01:36:13Z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eyJoZGlkIjoiMzU0ZGY0ZGI0NTQ4YjM0NTVlYTYyZDhiNzcyMTZlYmYiLCJ1c2VySWQiOiIyNDI2MzUwOTgifQ==</vt:lpwstr>
  </property>
  <property fmtid="{D5CDD505-2E9C-101B-9397-08002B2CF9AE}" pid="3" name="KSOProductBuildVer">
    <vt:lpwstr>2052-12.1.0.28505</vt:lpwstr>
  </property>
  <property fmtid="{D5CDD505-2E9C-101B-9397-08002B2CF9AE}" pid="4" name="ICV">
    <vt:lpwstr>7AF48C6DA2F542B7A01DAA7CBBACB7D6_13</vt:lpwstr>
  </property>
</Properties>
</file>