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F7E9E">
      <w:pPr>
        <w:adjustRightInd w:val="0"/>
        <w:snapToGrid w:val="0"/>
        <w:spacing w:line="360" w:lineRule="auto"/>
        <w:rPr>
          <w:rFonts w:hint="eastAsia" w:ascii="仿宋" w:hAnsi="仿宋" w:eastAsia="仿宋"/>
          <w:sz w:val="32"/>
          <w:szCs w:val="32"/>
        </w:rPr>
      </w:pPr>
    </w:p>
    <w:p w14:paraId="3B595A33">
      <w:pPr>
        <w:adjustRightInd w:val="0"/>
        <w:snapToGrid w:val="0"/>
        <w:spacing w:line="360" w:lineRule="auto"/>
        <w:jc w:val="center"/>
        <w:rPr>
          <w:rFonts w:hint="eastAsia" w:ascii="仿宋" w:hAnsi="仿宋" w:eastAsia="仿宋"/>
          <w:b/>
          <w:sz w:val="32"/>
          <w:szCs w:val="32"/>
        </w:rPr>
      </w:pPr>
    </w:p>
    <w:p w14:paraId="6DE63875">
      <w:pPr>
        <w:adjustRightInd w:val="0"/>
        <w:snapToGrid w:val="0"/>
        <w:spacing w:line="360" w:lineRule="auto"/>
        <w:jc w:val="center"/>
        <w:rPr>
          <w:rFonts w:hint="eastAsia" w:ascii="仿宋" w:hAnsi="仿宋" w:eastAsia="仿宋"/>
          <w:b/>
          <w:sz w:val="32"/>
          <w:szCs w:val="32"/>
        </w:rPr>
      </w:pPr>
    </w:p>
    <w:p w14:paraId="3410C9DB">
      <w:pPr>
        <w:adjustRightInd w:val="0"/>
        <w:snapToGrid w:val="0"/>
        <w:spacing w:line="360" w:lineRule="auto"/>
        <w:jc w:val="center"/>
        <w:rPr>
          <w:rFonts w:hint="eastAsia" w:ascii="仿宋" w:hAnsi="仿宋" w:eastAsia="仿宋"/>
          <w:b/>
          <w:sz w:val="32"/>
          <w:szCs w:val="32"/>
        </w:rPr>
      </w:pPr>
    </w:p>
    <w:p w14:paraId="031C9906">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rPr>
        <w:t>海洋调查船航前安全检查规程</w:t>
      </w:r>
    </w:p>
    <w:p w14:paraId="29DF4D14">
      <w:pPr>
        <w:adjustRightInd w:val="0"/>
        <w:snapToGrid w:val="0"/>
        <w:spacing w:line="360" w:lineRule="auto"/>
        <w:jc w:val="center"/>
        <w:rPr>
          <w:rFonts w:hint="eastAsia" w:ascii="仿宋" w:hAnsi="仿宋" w:eastAsia="仿宋"/>
          <w:b/>
          <w:sz w:val="36"/>
          <w:szCs w:val="36"/>
        </w:rPr>
      </w:pPr>
      <w:r>
        <w:rPr>
          <w:rFonts w:hint="eastAsia" w:ascii="仿宋" w:hAnsi="仿宋" w:eastAsia="仿宋"/>
          <w:b/>
          <w:sz w:val="36"/>
          <w:szCs w:val="36"/>
        </w:rPr>
        <w:t>编制说明</w:t>
      </w:r>
    </w:p>
    <w:p w14:paraId="769CB554">
      <w:pPr>
        <w:adjustRightInd w:val="0"/>
        <w:snapToGrid w:val="0"/>
        <w:spacing w:line="360" w:lineRule="auto"/>
        <w:jc w:val="center"/>
        <w:rPr>
          <w:rFonts w:hint="eastAsia" w:ascii="仿宋" w:hAnsi="仿宋" w:eastAsia="仿宋"/>
          <w:b/>
          <w:sz w:val="32"/>
          <w:szCs w:val="32"/>
        </w:rPr>
      </w:pPr>
    </w:p>
    <w:p w14:paraId="74E55924">
      <w:pPr>
        <w:adjustRightInd w:val="0"/>
        <w:snapToGrid w:val="0"/>
        <w:spacing w:line="360" w:lineRule="auto"/>
        <w:jc w:val="center"/>
        <w:rPr>
          <w:rFonts w:hint="eastAsia" w:ascii="仿宋" w:hAnsi="仿宋" w:eastAsia="仿宋"/>
          <w:b/>
          <w:sz w:val="32"/>
          <w:szCs w:val="32"/>
        </w:rPr>
      </w:pPr>
    </w:p>
    <w:p w14:paraId="1D999D36">
      <w:pPr>
        <w:adjustRightInd w:val="0"/>
        <w:snapToGrid w:val="0"/>
        <w:spacing w:line="360" w:lineRule="auto"/>
        <w:jc w:val="center"/>
        <w:rPr>
          <w:rFonts w:hint="eastAsia" w:ascii="仿宋" w:hAnsi="仿宋" w:eastAsia="仿宋"/>
          <w:b/>
          <w:sz w:val="32"/>
          <w:szCs w:val="32"/>
        </w:rPr>
      </w:pPr>
    </w:p>
    <w:p w14:paraId="2930E015">
      <w:pPr>
        <w:adjustRightInd w:val="0"/>
        <w:snapToGrid w:val="0"/>
        <w:spacing w:line="360" w:lineRule="auto"/>
        <w:jc w:val="center"/>
        <w:rPr>
          <w:rFonts w:hint="eastAsia" w:ascii="仿宋" w:hAnsi="仿宋" w:eastAsia="仿宋"/>
          <w:b/>
          <w:sz w:val="32"/>
          <w:szCs w:val="32"/>
        </w:rPr>
      </w:pPr>
    </w:p>
    <w:p w14:paraId="531159B3">
      <w:pPr>
        <w:adjustRightInd w:val="0"/>
        <w:snapToGrid w:val="0"/>
        <w:spacing w:line="360" w:lineRule="auto"/>
        <w:rPr>
          <w:rFonts w:hint="eastAsia" w:ascii="仿宋" w:hAnsi="仿宋" w:eastAsia="仿宋"/>
          <w:b/>
          <w:sz w:val="32"/>
          <w:szCs w:val="32"/>
        </w:rPr>
      </w:pPr>
    </w:p>
    <w:p w14:paraId="5BAAFA39">
      <w:pPr>
        <w:adjustRightInd w:val="0"/>
        <w:snapToGrid w:val="0"/>
        <w:spacing w:line="360" w:lineRule="auto"/>
        <w:rPr>
          <w:rFonts w:hint="eastAsia" w:ascii="仿宋" w:hAnsi="仿宋" w:eastAsia="仿宋"/>
          <w:b/>
          <w:sz w:val="32"/>
          <w:szCs w:val="32"/>
        </w:rPr>
      </w:pPr>
    </w:p>
    <w:p w14:paraId="494E4083">
      <w:pPr>
        <w:adjustRightInd w:val="0"/>
        <w:snapToGrid w:val="0"/>
        <w:spacing w:line="360" w:lineRule="auto"/>
        <w:rPr>
          <w:rFonts w:hint="eastAsia" w:ascii="仿宋" w:hAnsi="仿宋" w:eastAsia="仿宋"/>
          <w:b/>
          <w:sz w:val="32"/>
          <w:szCs w:val="32"/>
        </w:rPr>
      </w:pPr>
    </w:p>
    <w:p w14:paraId="5A0DB954">
      <w:pPr>
        <w:adjustRightInd w:val="0"/>
        <w:snapToGrid w:val="0"/>
        <w:spacing w:line="360" w:lineRule="auto"/>
        <w:jc w:val="center"/>
        <w:rPr>
          <w:rFonts w:hint="eastAsia" w:ascii="仿宋" w:hAnsi="仿宋" w:eastAsia="仿宋"/>
          <w:sz w:val="32"/>
          <w:szCs w:val="32"/>
        </w:rPr>
      </w:pPr>
      <w:r>
        <w:rPr>
          <w:rFonts w:hint="eastAsia" w:ascii="仿宋" w:hAnsi="仿宋" w:eastAsia="仿宋"/>
          <w:sz w:val="32"/>
          <w:szCs w:val="32"/>
        </w:rPr>
        <w:t>自然资源部北海海洋技术中心</w:t>
      </w:r>
    </w:p>
    <w:p w14:paraId="5B8BC041">
      <w:pPr>
        <w:adjustRightInd w:val="0"/>
        <w:snapToGrid w:val="0"/>
        <w:spacing w:line="360" w:lineRule="auto"/>
        <w:jc w:val="center"/>
        <w:rPr>
          <w:rFonts w:hint="eastAsia" w:ascii="仿宋" w:hAnsi="仿宋" w:eastAsia="仿宋"/>
          <w:sz w:val="32"/>
          <w:szCs w:val="32"/>
        </w:rPr>
        <w:sectPr>
          <w:footerReference r:id="rId6" w:type="first"/>
          <w:footerReference r:id="rId5" w:type="default"/>
          <w:pgSz w:w="11906" w:h="16838"/>
          <w:pgMar w:top="1440" w:right="1800" w:bottom="1440" w:left="1800" w:header="851" w:footer="992" w:gutter="0"/>
          <w:cols w:space="425" w:num="1"/>
          <w:docGrid w:type="lines" w:linePitch="312" w:charSpace="0"/>
        </w:sectPr>
      </w:pPr>
      <w:r>
        <w:rPr>
          <w:rFonts w:hint="eastAsia" w:ascii="仿宋" w:hAnsi="仿宋" w:eastAsia="仿宋"/>
          <w:sz w:val="32"/>
          <w:szCs w:val="32"/>
        </w:rPr>
        <w:t>20</w:t>
      </w:r>
      <w:r>
        <w:rPr>
          <w:rFonts w:ascii="仿宋" w:hAnsi="仿宋" w:eastAsia="仿宋"/>
          <w:sz w:val="32"/>
          <w:szCs w:val="32"/>
        </w:rPr>
        <w:t>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w:t>
      </w:r>
    </w:p>
    <w:p w14:paraId="1A310F13">
      <w:pPr>
        <w:adjustRightInd w:val="0"/>
        <w:snapToGrid w:val="0"/>
        <w:spacing w:line="360" w:lineRule="auto"/>
        <w:jc w:val="center"/>
        <w:rPr>
          <w:rFonts w:hint="eastAsia" w:ascii="黑体" w:hAnsi="黑体" w:eastAsia="黑体"/>
          <w:sz w:val="44"/>
          <w:szCs w:val="44"/>
        </w:rPr>
      </w:pPr>
      <w:r>
        <w:rPr>
          <w:rFonts w:hint="eastAsia" w:ascii="仿宋" w:hAnsi="仿宋" w:eastAsia="仿宋"/>
          <w:b/>
          <w:sz w:val="36"/>
          <w:szCs w:val="36"/>
        </w:rPr>
        <w:t>《海洋调查船航前安全检查规程》编制说明</w:t>
      </w:r>
    </w:p>
    <w:p w14:paraId="671C072B">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一、工作简况（包括任务来源、参加单位、主要工作过程、标准主要起草人及其所做的工作等）</w:t>
      </w:r>
    </w:p>
    <w:p w14:paraId="394BF076">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（一）任务来源</w:t>
      </w:r>
    </w:p>
    <w:p w14:paraId="3154B1AA">
      <w:pPr>
        <w:ind w:firstLine="640" w:firstLineChars="200"/>
        <w:rPr>
          <w:rFonts w:hint="eastAsia" w:ascii="仿宋_GB2312" w:hAnsi="宋体" w:eastAsia="仿宋_GB2312"/>
          <w:sz w:val="32"/>
          <w:szCs w:val="28"/>
        </w:rPr>
      </w:pPr>
      <w:r>
        <w:rPr>
          <w:rFonts w:hint="eastAsia" w:ascii="仿宋_GB2312" w:hAnsi="宋体" w:eastAsia="仿宋_GB2312"/>
          <w:sz w:val="32"/>
          <w:szCs w:val="28"/>
        </w:rPr>
        <w:t>为深入贯彻落实习近平总书记关于总体国家安全观和安全生产工作的重要论述及党中央、国务院决策部署，切实履行海洋调查安全主体责任，进一步规范海洋调查作业流程、提升作业质效、防范安全风险，自然资源部北海海洋技术中心（自然资源部北海船舶飞机管理中心）立足长期承担国家重大专项和大洋深潜技术保障工作的实践基础，系统总结船舶航前安全检查的实践经验。计划梳理有关航前检查流程等相关内容，通过团体标准的形式，推动形成可复制、可推广的技术规范成果，为政府部门实施安全监管、科研院所开展科考作业、涉海企业提升生产效能提供标准化支撑，全面促进海洋调查领域安全生产治理体系和治理能力现代化。</w:t>
      </w:r>
    </w:p>
    <w:p w14:paraId="19309596">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（二）协作单位</w:t>
      </w:r>
    </w:p>
    <w:p w14:paraId="4E9299BE">
      <w:pPr>
        <w:adjustRightInd w:val="0"/>
        <w:snapToGrid w:val="0"/>
        <w:ind w:firstLine="640" w:firstLineChars="200"/>
        <w:contextualSpacing/>
        <w:outlineLvl w:val="1"/>
        <w:rPr>
          <w:rFonts w:ascii="仿宋_GB2312" w:eastAsia="仿宋_GB2312"/>
          <w:sz w:val="32"/>
        </w:rPr>
      </w:pPr>
      <w:r>
        <w:rPr>
          <w:rFonts w:hint="eastAsia" w:ascii="仿宋_GB2312" w:eastAsia="仿宋_GB2312"/>
          <w:sz w:val="32"/>
        </w:rPr>
        <w:t>国家海洋标准计量中心和自然资源部北海标准计量中心。</w:t>
      </w:r>
    </w:p>
    <w:p w14:paraId="004BCC14">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（三）主要工作过程</w:t>
      </w:r>
    </w:p>
    <w:p w14:paraId="76E0D8EE">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（1）预研阶段</w:t>
      </w:r>
    </w:p>
    <w:p w14:paraId="2AEF0F1C">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本标准的编制工作从2025年6月开始，由中心装备技术室具体承担，主要工作过程如下：</w:t>
      </w:r>
    </w:p>
    <w:p w14:paraId="30237592">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20</w:t>
      </w:r>
      <w:r>
        <w:rPr>
          <w:rFonts w:ascii="仿宋_GB2312" w:hAnsi="宋体" w:eastAsia="仿宋_GB2312" w:cstheme="minorBidi"/>
          <w:sz w:val="32"/>
          <w:szCs w:val="28"/>
        </w:rPr>
        <w:t>2</w:t>
      </w:r>
      <w:r>
        <w:rPr>
          <w:rFonts w:hint="eastAsia" w:ascii="仿宋_GB2312" w:hAnsi="宋体" w:eastAsia="仿宋_GB2312" w:cstheme="minorBidi"/>
          <w:sz w:val="32"/>
          <w:szCs w:val="28"/>
        </w:rPr>
        <w:t>5年7月：标准预研究、草稿编制。</w:t>
      </w:r>
    </w:p>
    <w:p w14:paraId="5B62380E">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202</w:t>
      </w:r>
      <w:r>
        <w:rPr>
          <w:rFonts w:hint="eastAsia" w:ascii="仿宋_GB2312" w:hAnsi="宋体" w:eastAsia="仿宋_GB2312" w:cstheme="minorBidi"/>
          <w:sz w:val="32"/>
          <w:szCs w:val="28"/>
        </w:rPr>
        <w:t>5年7月-</w:t>
      </w:r>
      <w:r>
        <w:rPr>
          <w:rFonts w:hint="eastAsia" w:ascii="仿宋_GB2312" w:hAnsi="宋体" w:eastAsia="仿宋_GB2312" w:cstheme="minorBidi"/>
          <w:sz w:val="32"/>
          <w:szCs w:val="28"/>
          <w:lang w:val="en-US" w:eastAsia="zh-CN"/>
        </w:rPr>
        <w:t>11</w:t>
      </w:r>
      <w:r>
        <w:rPr>
          <w:rFonts w:hint="eastAsia" w:ascii="仿宋_GB2312" w:hAnsi="宋体" w:eastAsia="仿宋_GB2312" w:cstheme="minorBidi"/>
          <w:sz w:val="32"/>
          <w:szCs w:val="28"/>
        </w:rPr>
        <w:t>月：组织讨论修改、行程团标草案、立项申请书、编制说明。</w:t>
      </w:r>
    </w:p>
    <w:p w14:paraId="18503C9B">
      <w:pPr>
        <w:ind w:firstLine="640" w:firstLineChars="200"/>
        <w:rPr>
          <w:rFonts w:hint="default" w:ascii="仿宋_GB2312" w:hAnsi="宋体" w:eastAsia="仿宋_GB2312" w:cstheme="minorBidi"/>
          <w:sz w:val="32"/>
          <w:szCs w:val="28"/>
          <w:lang w:val="en-US" w:eastAsia="zh-CN"/>
        </w:rPr>
      </w:pPr>
      <w:r>
        <w:rPr>
          <w:rFonts w:hint="eastAsia" w:ascii="仿宋_GB2312" w:hAnsi="宋体" w:eastAsia="仿宋_GB2312" w:cstheme="minorBidi"/>
          <w:sz w:val="32"/>
          <w:szCs w:val="28"/>
          <w:lang w:val="en-US" w:eastAsia="zh-CN"/>
        </w:rPr>
        <w:t>2025年11月-2026年5月：通过立项审查，根据专家意见完善内容。</w:t>
      </w:r>
    </w:p>
    <w:p w14:paraId="620D5F01">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（四）标准主要起草人及其所做的工作</w:t>
      </w:r>
    </w:p>
    <w:p w14:paraId="63A09950">
      <w:pPr>
        <w:spacing w:line="360" w:lineRule="auto"/>
        <w:ind w:firstLine="640" w:firstLineChars="200"/>
        <w:rPr>
          <w:rFonts w:ascii="仿宋_GB2312" w:eastAsia="仿宋_GB2312"/>
          <w:sz w:val="32"/>
        </w:rPr>
      </w:pPr>
      <w:r>
        <w:rPr>
          <w:rFonts w:hint="eastAsia" w:ascii="仿宋_GB2312" w:hAnsi="宋体" w:eastAsia="仿宋_GB2312" w:cstheme="minorBidi"/>
          <w:sz w:val="32"/>
          <w:szCs w:val="28"/>
        </w:rPr>
        <w:t>王茂旭</w:t>
      </w:r>
      <w:r>
        <w:rPr>
          <w:rFonts w:hint="eastAsia" w:ascii="仿宋_GB2312" w:eastAsia="仿宋_GB2312"/>
          <w:sz w:val="32"/>
        </w:rPr>
        <w:t>：助理工程师，</w:t>
      </w:r>
      <w:r>
        <w:rPr>
          <w:rFonts w:hint="eastAsia" w:ascii="仿宋_GB2312" w:eastAsia="仿宋_GB2312"/>
          <w:color w:val="0D0D0D"/>
          <w:sz w:val="32"/>
        </w:rPr>
        <w:t>负责本标准总体框架的确定，负责本标准正文和编制说明的具体编写及修改。</w:t>
      </w:r>
    </w:p>
    <w:p w14:paraId="3602951C">
      <w:pPr>
        <w:ind w:firstLine="640" w:firstLineChars="200"/>
        <w:rPr>
          <w:rFonts w:hint="eastAsia" w:ascii="仿宋_GB2312" w:hAnsi="宋体" w:eastAsia="仿宋_GB2312" w:cstheme="minorBidi"/>
          <w:sz w:val="32"/>
          <w:szCs w:val="28"/>
        </w:rPr>
      </w:pPr>
      <w:r>
        <w:rPr>
          <w:rFonts w:hint="eastAsia" w:ascii="仿宋_GB2312" w:eastAsia="仿宋_GB2312"/>
          <w:sz w:val="32"/>
        </w:rPr>
        <w:t>姜征</w:t>
      </w:r>
      <w:r>
        <w:rPr>
          <w:rFonts w:hint="eastAsia" w:ascii="仿宋_GB2312" w:hAnsi="宋体" w:eastAsia="仿宋_GB2312" w:cstheme="minorBidi"/>
          <w:sz w:val="32"/>
          <w:szCs w:val="28"/>
        </w:rPr>
        <w:t>：工程师，</w:t>
      </w:r>
      <w:r>
        <w:rPr>
          <w:rFonts w:hint="eastAsia" w:ascii="仿宋_GB2312" w:eastAsia="仿宋_GB2312"/>
          <w:sz w:val="32"/>
        </w:rPr>
        <w:t>参与标准的技术支撑。</w:t>
      </w:r>
    </w:p>
    <w:p w14:paraId="1C1F34A8">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张丽婷：正高级工程师，负责规程体系审核。</w:t>
      </w:r>
    </w:p>
    <w:p w14:paraId="7433D091">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任峰：高级工程师，</w:t>
      </w:r>
      <w:r>
        <w:rPr>
          <w:rFonts w:hint="eastAsia" w:ascii="仿宋_GB2312" w:eastAsia="仿宋_GB2312"/>
          <w:color w:val="0D0D0D"/>
          <w:sz w:val="32"/>
        </w:rPr>
        <w:t>负责标准的标准化修改，参与标准编制说明的编写</w:t>
      </w:r>
      <w:r>
        <w:rPr>
          <w:rFonts w:hint="eastAsia" w:ascii="仿宋_GB2312" w:hAnsi="宋体" w:eastAsia="仿宋_GB2312" w:cstheme="minorBidi"/>
          <w:sz w:val="32"/>
          <w:szCs w:val="28"/>
        </w:rPr>
        <w:t>。</w:t>
      </w:r>
    </w:p>
    <w:p w14:paraId="4BD4696A">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马治忠：高级工程师，参与标准编制研讨，并参加应用服务收集整理。</w:t>
      </w:r>
    </w:p>
    <w:p w14:paraId="2EDCF2A9">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孙元宏：</w:t>
      </w:r>
      <w:bookmarkStart w:id="0" w:name="OLE_LINK2"/>
      <w:r>
        <w:rPr>
          <w:rFonts w:hint="eastAsia" w:ascii="仿宋_GB2312" w:hAnsi="宋体" w:eastAsia="仿宋_GB2312" w:cstheme="minorBidi"/>
          <w:sz w:val="32"/>
          <w:szCs w:val="28"/>
        </w:rPr>
        <w:t>高级</w:t>
      </w:r>
      <w:bookmarkEnd w:id="0"/>
      <w:r>
        <w:rPr>
          <w:rFonts w:hint="eastAsia" w:ascii="仿宋_GB2312" w:hAnsi="宋体" w:eastAsia="仿宋_GB2312" w:cstheme="minorBidi"/>
          <w:sz w:val="32"/>
          <w:szCs w:val="28"/>
        </w:rPr>
        <w:t>工程师，</w:t>
      </w:r>
      <w:r>
        <w:rPr>
          <w:rFonts w:hint="eastAsia" w:ascii="仿宋_GB2312" w:eastAsia="仿宋_GB2312"/>
          <w:sz w:val="32"/>
        </w:rPr>
        <w:t>参与标准细则的完善。</w:t>
      </w:r>
    </w:p>
    <w:p w14:paraId="6D55FE21">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曾现敏：高级工程师，</w:t>
      </w:r>
      <w:r>
        <w:rPr>
          <w:rFonts w:hint="eastAsia" w:ascii="仿宋_GB2312" w:eastAsia="仿宋_GB2312"/>
          <w:sz w:val="32"/>
        </w:rPr>
        <w:t>参与标准格式、版面的整体检查及排版。</w:t>
      </w:r>
    </w:p>
    <w:p w14:paraId="7E24B484">
      <w:pPr>
        <w:spacing w:line="360" w:lineRule="auto"/>
        <w:ind w:firstLine="640" w:firstLineChars="200"/>
        <w:rPr>
          <w:rFonts w:ascii="仿宋_GB2312" w:eastAsia="仿宋_GB2312"/>
          <w:sz w:val="32"/>
        </w:rPr>
      </w:pPr>
      <w:r>
        <w:rPr>
          <w:rFonts w:hint="eastAsia" w:ascii="仿宋_GB2312" w:eastAsia="仿宋_GB2312"/>
          <w:sz w:val="32"/>
        </w:rPr>
        <w:t>徐昕：</w:t>
      </w:r>
      <w:r>
        <w:rPr>
          <w:rFonts w:hint="eastAsia" w:ascii="仿宋_GB2312" w:hAnsi="宋体" w:eastAsia="仿宋_GB2312" w:cstheme="minorBidi"/>
          <w:sz w:val="32"/>
          <w:szCs w:val="28"/>
        </w:rPr>
        <w:t>高级工程师，</w:t>
      </w:r>
      <w:r>
        <w:rPr>
          <w:rFonts w:hint="eastAsia" w:ascii="仿宋_GB2312" w:eastAsia="仿宋_GB2312"/>
          <w:sz w:val="32"/>
        </w:rPr>
        <w:t>参与标准内容的完善修改。</w:t>
      </w:r>
    </w:p>
    <w:p w14:paraId="170335CC">
      <w:pPr>
        <w:spacing w:line="360" w:lineRule="auto"/>
        <w:ind w:firstLine="640" w:firstLineChars="200"/>
        <w:rPr>
          <w:rFonts w:ascii="仿宋_GB2312" w:eastAsia="仿宋_GB2312"/>
          <w:sz w:val="32"/>
        </w:rPr>
      </w:pPr>
      <w:r>
        <w:rPr>
          <w:rFonts w:hint="eastAsia" w:ascii="仿宋_GB2312" w:eastAsia="仿宋_GB2312"/>
          <w:sz w:val="32"/>
        </w:rPr>
        <w:t>徐栋：</w:t>
      </w:r>
      <w:r>
        <w:rPr>
          <w:rFonts w:hint="eastAsia" w:ascii="仿宋_GB2312" w:hAnsi="宋体" w:eastAsia="仿宋_GB2312" w:cstheme="minorBidi"/>
          <w:sz w:val="32"/>
          <w:szCs w:val="28"/>
        </w:rPr>
        <w:t>工程师，</w:t>
      </w:r>
      <w:r>
        <w:rPr>
          <w:rFonts w:hint="eastAsia" w:ascii="仿宋_GB2312" w:eastAsia="仿宋_GB2312"/>
          <w:sz w:val="32"/>
        </w:rPr>
        <w:t>参与提出标准的修改意见。</w:t>
      </w:r>
    </w:p>
    <w:p w14:paraId="2FF88D90">
      <w:pPr>
        <w:spacing w:line="360" w:lineRule="auto"/>
        <w:ind w:firstLine="640" w:firstLineChars="200"/>
        <w:rPr>
          <w:rFonts w:ascii="仿宋_GB2312" w:eastAsia="仿宋_GB2312"/>
          <w:sz w:val="32"/>
        </w:rPr>
      </w:pPr>
      <w:r>
        <w:rPr>
          <w:rFonts w:hint="eastAsia" w:ascii="仿宋_GB2312" w:eastAsia="仿宋_GB2312"/>
          <w:sz w:val="32"/>
        </w:rPr>
        <w:t>国家海洋标准计量中心</w:t>
      </w:r>
      <w:bookmarkStart w:id="2" w:name="_GoBack"/>
      <w:bookmarkEnd w:id="2"/>
      <w:r>
        <w:rPr>
          <w:rFonts w:hint="eastAsia" w:ascii="仿宋_GB2312" w:eastAsia="仿宋_GB2312"/>
          <w:sz w:val="32"/>
        </w:rPr>
        <w:t>：参与查找参考文献。</w:t>
      </w:r>
    </w:p>
    <w:p w14:paraId="6DF09E61">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二、确定团体学会标准主要技术内容</w:t>
      </w:r>
    </w:p>
    <w:p w14:paraId="42F8E434">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（一）规程的编制原则</w:t>
      </w:r>
    </w:p>
    <w:p w14:paraId="61576732">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本</w:t>
      </w:r>
      <w:r>
        <w:rPr>
          <w:rFonts w:hint="eastAsia" w:ascii="仿宋_GB2312" w:hAnsi="宋体" w:eastAsia="仿宋_GB2312" w:cstheme="minorBidi"/>
          <w:sz w:val="32"/>
          <w:szCs w:val="28"/>
        </w:rPr>
        <w:t>规程</w:t>
      </w:r>
      <w:r>
        <w:rPr>
          <w:rFonts w:ascii="仿宋_GB2312" w:hAnsi="宋体" w:eastAsia="仿宋_GB2312" w:cstheme="minorBidi"/>
          <w:sz w:val="32"/>
          <w:szCs w:val="28"/>
        </w:rPr>
        <w:t>遵循系统性</w:t>
      </w:r>
      <w:r>
        <w:rPr>
          <w:rFonts w:hint="eastAsia" w:ascii="仿宋_GB2312" w:hAnsi="宋体" w:eastAsia="仿宋_GB2312" w:cstheme="minorBidi"/>
          <w:sz w:val="32"/>
          <w:szCs w:val="28"/>
        </w:rPr>
        <w:t>、指导性</w:t>
      </w:r>
      <w:r>
        <w:rPr>
          <w:rFonts w:ascii="仿宋_GB2312" w:hAnsi="宋体" w:eastAsia="仿宋_GB2312" w:cstheme="minorBidi"/>
          <w:sz w:val="32"/>
          <w:szCs w:val="28"/>
        </w:rPr>
        <w:t>和</w:t>
      </w:r>
      <w:r>
        <w:rPr>
          <w:rFonts w:hint="eastAsia" w:ascii="仿宋_GB2312" w:hAnsi="宋体" w:eastAsia="仿宋_GB2312" w:cstheme="minorBidi"/>
          <w:sz w:val="32"/>
          <w:szCs w:val="28"/>
        </w:rPr>
        <w:t>规范性</w:t>
      </w:r>
      <w:r>
        <w:rPr>
          <w:rFonts w:ascii="仿宋_GB2312" w:hAnsi="宋体" w:eastAsia="仿宋_GB2312" w:cstheme="minorBidi"/>
          <w:sz w:val="32"/>
          <w:szCs w:val="28"/>
        </w:rPr>
        <w:t>原则，与国家现行的法律法规、部门规范性文件以及相关资料整编技术规程相衔接，在确保体系完整的前提下，充分考虑标准的继承性、实用性</w:t>
      </w:r>
      <w:r>
        <w:rPr>
          <w:rFonts w:hint="eastAsia" w:ascii="仿宋_GB2312" w:hAnsi="宋体" w:eastAsia="仿宋_GB2312" w:cstheme="minorBidi"/>
          <w:sz w:val="32"/>
          <w:szCs w:val="28"/>
        </w:rPr>
        <w:t>、前瞻性</w:t>
      </w:r>
      <w:r>
        <w:rPr>
          <w:rFonts w:ascii="仿宋_GB2312" w:hAnsi="宋体" w:eastAsia="仿宋_GB2312" w:cstheme="minorBidi"/>
          <w:sz w:val="32"/>
          <w:szCs w:val="28"/>
        </w:rPr>
        <w:t>和可操作性。</w:t>
      </w:r>
    </w:p>
    <w:p w14:paraId="711ECDDD">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系统</w:t>
      </w:r>
      <w:r>
        <w:rPr>
          <w:rFonts w:ascii="仿宋_GB2312" w:hAnsi="宋体" w:eastAsia="仿宋_GB2312" w:cstheme="minorBidi"/>
          <w:sz w:val="32"/>
          <w:szCs w:val="28"/>
        </w:rPr>
        <w:t>性原则：</w:t>
      </w:r>
      <w:r>
        <w:rPr>
          <w:rFonts w:hint="eastAsia" w:ascii="仿宋_GB2312" w:hAnsi="宋体" w:eastAsia="仿宋_GB2312" w:cstheme="minorBidi"/>
          <w:sz w:val="32"/>
          <w:szCs w:val="28"/>
        </w:rPr>
        <w:t>规程围绕航前安全检查，构建完整、科学合理的检查体系，涵盖船舶证书文书、船员资质、设备状况、应急准备等多个方面</w:t>
      </w:r>
      <w:r>
        <w:rPr>
          <w:rFonts w:ascii="仿宋_GB2312" w:hAnsi="宋体" w:eastAsia="仿宋_GB2312" w:cstheme="minorBidi"/>
          <w:sz w:val="32"/>
          <w:szCs w:val="28"/>
        </w:rPr>
        <w:t>。</w:t>
      </w:r>
    </w:p>
    <w:p w14:paraId="3FC37E1C">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指导</w:t>
      </w:r>
      <w:r>
        <w:rPr>
          <w:rFonts w:ascii="仿宋_GB2312" w:hAnsi="宋体" w:eastAsia="仿宋_GB2312" w:cstheme="minorBidi"/>
          <w:sz w:val="32"/>
          <w:szCs w:val="28"/>
        </w:rPr>
        <w:t>性原则：</w:t>
      </w:r>
      <w:r>
        <w:rPr>
          <w:rFonts w:hint="eastAsia" w:ascii="仿宋_GB2312" w:hAnsi="宋体" w:eastAsia="仿宋_GB2312" w:cstheme="minorBidi"/>
          <w:sz w:val="32"/>
          <w:szCs w:val="28"/>
        </w:rPr>
        <w:t>结合船舶安全管理与海上作业实际需求，注重检查内容的实用性和可操作性，指导船舶及作业单位有效开展航前安全检查。</w:t>
      </w:r>
    </w:p>
    <w:p w14:paraId="07ECED3E">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规范性原则：</w:t>
      </w:r>
      <w:r>
        <w:rPr>
          <w:rFonts w:hint="eastAsia" w:ascii="仿宋_GB2312" w:hAnsi="宋体" w:eastAsia="仿宋_GB2312" w:cstheme="minorBidi"/>
          <w:sz w:val="32"/>
          <w:szCs w:val="28"/>
        </w:rPr>
        <w:t>严格按照国家相关法律法规及行业规范编制，确保检查标准的统一性和权威性。</w:t>
      </w:r>
    </w:p>
    <w:p w14:paraId="382F1FE4">
      <w:pPr>
        <w:ind w:firstLine="643" w:firstLineChars="200"/>
        <w:rPr>
          <w:rFonts w:hint="eastAsia" w:ascii="仿宋" w:hAnsi="仿宋" w:eastAsia="仿宋"/>
          <w:b/>
          <w:sz w:val="32"/>
          <w:szCs w:val="32"/>
        </w:rPr>
      </w:pPr>
      <w:r>
        <w:rPr>
          <w:rFonts w:hint="eastAsia" w:ascii="仿宋" w:hAnsi="仿宋" w:eastAsia="仿宋"/>
          <w:b/>
          <w:sz w:val="32"/>
          <w:szCs w:val="32"/>
        </w:rPr>
        <w:t>（二）确定规程主要内容的依据</w:t>
      </w:r>
    </w:p>
    <w:p w14:paraId="51F4E040">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确定本航前安全检查规程主要内容的依据，主要基于以下几个方面：首先，严格遵循国家现行的法律法规，如《中华人民共和国海上交通安全法》、《中华人民共和国安全生产法》及相关行业规范，确保检查内容合法合规；其次，结合船舶类型、作业区域及任务特点，参考国内外船舶安全管理的先进经验和最佳实践，制定具有针对性和可操作性的检查项目与标准；再次，充分考虑船舶及设备的技术状况、人员资质及应急准备等实际情况，确保检查内容全面覆盖航前安全的关键环节；最后，借鉴历史事故案例和安全隐患排查结果，针对常见问题和薄弱环节，强化检查力度和整改措施，从而确保本规程的科学性、实用性和有效性。</w:t>
      </w:r>
    </w:p>
    <w:p w14:paraId="0F2B911D">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三、主要试验（验证）的分析、综述报告，技术经济论证，预期的经济效果</w:t>
      </w:r>
    </w:p>
    <w:p w14:paraId="156AC740">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通过团体标准形式，推进相关成果在政府部门、涉海高校和企业内共享应用。</w:t>
      </w:r>
    </w:p>
    <w:p w14:paraId="3C6AA131">
      <w:pPr>
        <w:ind w:firstLine="640" w:firstLineChars="200"/>
        <w:rPr>
          <w:rFonts w:hint="eastAsia" w:ascii="仿宋_GB2312" w:hAnsi="宋体" w:eastAsia="仿宋_GB2312" w:cstheme="minorBidi"/>
          <w:sz w:val="32"/>
          <w:szCs w:val="28"/>
        </w:rPr>
      </w:pPr>
      <w:bookmarkStart w:id="1" w:name="OLE_LINK1"/>
      <w:r>
        <w:rPr>
          <w:rFonts w:hint="eastAsia" w:ascii="仿宋_GB2312" w:hAnsi="宋体" w:eastAsia="仿宋_GB2312" w:cstheme="minorBidi"/>
          <w:sz w:val="32"/>
          <w:szCs w:val="28"/>
        </w:rPr>
        <w:t>通过科技成果转化和市场化应用，预期也会产生一定的经济价值，包括提升作业效率，保障数据质量，承揽更多业务等。</w:t>
      </w:r>
    </w:p>
    <w:bookmarkEnd w:id="1"/>
    <w:p w14:paraId="61B69E74">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四、采用国际标准的程度及水平的简要说明</w:t>
      </w:r>
    </w:p>
    <w:p w14:paraId="35E9B72F">
      <w:pPr>
        <w:ind w:firstLine="640" w:firstLineChars="200"/>
        <w:rPr>
          <w:rFonts w:hint="eastAsia" w:ascii="仿宋" w:hAnsi="仿宋" w:eastAsia="仿宋"/>
          <w:sz w:val="32"/>
          <w:szCs w:val="32"/>
        </w:rPr>
      </w:pPr>
      <w:r>
        <w:rPr>
          <w:rFonts w:hint="eastAsia" w:ascii="仿宋" w:hAnsi="仿宋" w:eastAsia="仿宋"/>
          <w:sz w:val="32"/>
          <w:szCs w:val="32"/>
        </w:rPr>
        <w:t>未采用国际标准。</w:t>
      </w:r>
    </w:p>
    <w:p w14:paraId="2BD52F9B">
      <w:pPr>
        <w:ind w:firstLine="640" w:firstLineChars="200"/>
        <w:rPr>
          <w:rFonts w:hint="eastAsia" w:ascii="仿宋" w:hAnsi="仿宋" w:eastAsia="仿宋"/>
          <w:sz w:val="32"/>
          <w:szCs w:val="32"/>
        </w:rPr>
      </w:pPr>
      <w:r>
        <w:rPr>
          <w:rFonts w:hint="eastAsia" w:ascii="仿宋" w:hAnsi="仿宋" w:eastAsia="仿宋"/>
          <w:sz w:val="32"/>
          <w:szCs w:val="32"/>
        </w:rPr>
        <w:t>本航前安全检查规程在编制过程中，积极借鉴并参考了国际上广泛认可的船舶安全管理和航行安全相关标准，尽管未直接采用某一具体国际标准作为编制蓝本，但在内容构建和技术要求上，力求与国际先进水平保持同步，体现了较高的国际化程度。具体表现在：</w:t>
      </w:r>
    </w:p>
    <w:p w14:paraId="5D90085F">
      <w:pPr>
        <w:ind w:firstLine="640" w:firstLineChars="200"/>
        <w:rPr>
          <w:rFonts w:hint="eastAsia" w:ascii="仿宋" w:hAnsi="仿宋" w:eastAsia="仿宋"/>
          <w:sz w:val="32"/>
          <w:szCs w:val="32"/>
        </w:rPr>
      </w:pPr>
      <w:r>
        <w:rPr>
          <w:rFonts w:hint="eastAsia" w:ascii="仿宋" w:hAnsi="仿宋" w:eastAsia="仿宋"/>
          <w:sz w:val="32"/>
          <w:szCs w:val="32"/>
        </w:rPr>
        <w:t>1.遵循国际公约精神：规程内容遵循了国际海事组织（IMO）制定的相关国际公约和推荐做法的精神，如《国际海上人命安全公约》（SOLAS）、《国际防止船舶造成污染公约》（MARPOL）等，确保在船舶安全、防污染、应急准备等方面与国际标准接轨。</w:t>
      </w:r>
    </w:p>
    <w:p w14:paraId="419A61AC">
      <w:pPr>
        <w:ind w:firstLine="640" w:firstLineChars="200"/>
        <w:rPr>
          <w:rFonts w:hint="eastAsia" w:ascii="仿宋" w:hAnsi="仿宋" w:eastAsia="仿宋"/>
          <w:sz w:val="32"/>
          <w:szCs w:val="32"/>
        </w:rPr>
      </w:pPr>
      <w:r>
        <w:rPr>
          <w:rFonts w:hint="eastAsia" w:ascii="仿宋" w:hAnsi="仿宋" w:eastAsia="仿宋"/>
          <w:sz w:val="32"/>
          <w:szCs w:val="32"/>
        </w:rPr>
        <w:t>2.强调国际通用性：规程中的术语定义、检查流程、记录要求等均采用了国际通用的表述方式，便于国际交流与合作，同时也为船舶在国际航行中接受各国港口国监督检查（PSC）提供了便利。</w:t>
      </w:r>
    </w:p>
    <w:p w14:paraId="0E081296">
      <w:pPr>
        <w:ind w:firstLine="640" w:firstLineChars="200"/>
        <w:rPr>
          <w:rFonts w:hint="eastAsia" w:ascii="仿宋" w:hAnsi="仿宋" w:eastAsia="仿宋"/>
          <w:sz w:val="32"/>
          <w:szCs w:val="32"/>
        </w:rPr>
      </w:pPr>
      <w:r>
        <w:rPr>
          <w:rFonts w:hint="eastAsia" w:ascii="仿宋" w:hAnsi="仿宋" w:eastAsia="仿宋"/>
          <w:sz w:val="32"/>
          <w:szCs w:val="32"/>
        </w:rPr>
        <w:t>3.结合国内实际情况：在参考国际标准的同时，规程也充分考虑了国内船舶安全管理的实际情况和特殊需求，对部分国际标准进行了适当的调整和补充，以确保规程的适用性和可操作性。</w:t>
      </w:r>
    </w:p>
    <w:p w14:paraId="4CB3EA52">
      <w:pPr>
        <w:ind w:firstLine="640" w:firstLineChars="200"/>
        <w:rPr>
          <w:rFonts w:hint="eastAsia" w:ascii="仿宋" w:hAnsi="仿宋" w:eastAsia="仿宋"/>
          <w:sz w:val="32"/>
          <w:szCs w:val="32"/>
        </w:rPr>
      </w:pPr>
      <w:r>
        <w:rPr>
          <w:rFonts w:hint="eastAsia" w:ascii="仿宋" w:hAnsi="仿宋" w:eastAsia="仿宋"/>
          <w:sz w:val="32"/>
          <w:szCs w:val="32"/>
        </w:rPr>
        <w:t>综上所述，本航前安全检查规程在编制过程中，虽然未直接采用某一具体国际标准，但在内容构建和技术要求上，积极借鉴了国际先进经验和做法，力求与国际标准保持同步，体现了较高的国际化程度和水平。</w:t>
      </w:r>
    </w:p>
    <w:p w14:paraId="4FF71901">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五、重大分歧意见的处理经过和依据</w:t>
      </w:r>
    </w:p>
    <w:p w14:paraId="558726E2">
      <w:pPr>
        <w:ind w:firstLine="640" w:firstLineChars="200"/>
        <w:rPr>
          <w:rFonts w:hint="eastAsia" w:ascii="仿宋" w:hAnsi="仿宋" w:eastAsia="仿宋"/>
          <w:sz w:val="32"/>
          <w:szCs w:val="32"/>
        </w:rPr>
      </w:pPr>
      <w:r>
        <w:rPr>
          <w:rFonts w:hint="eastAsia" w:ascii="仿宋" w:hAnsi="仿宋" w:eastAsia="仿宋"/>
          <w:sz w:val="32"/>
          <w:szCs w:val="32"/>
        </w:rPr>
        <w:t>无。</w:t>
      </w:r>
    </w:p>
    <w:p w14:paraId="3CEB9F0B">
      <w:pPr>
        <w:numPr>
          <w:ilvl w:val="0"/>
          <w:numId w:val="1"/>
        </w:num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贯彻学会标准的要求和措施建议</w:t>
      </w:r>
    </w:p>
    <w:p w14:paraId="364134E6">
      <w:pPr>
        <w:spacing w:after="0"/>
        <w:ind w:firstLine="640" w:firstLineChars="200"/>
        <w:rPr>
          <w:rFonts w:hint="eastAsia" w:ascii="仿宋_GB2312" w:hAnsi="宋体" w:eastAsia="仿宋_GB2312" w:cs="仿宋_GB2312"/>
          <w:sz w:val="32"/>
          <w:szCs w:val="28"/>
        </w:rPr>
      </w:pPr>
      <w:r>
        <w:rPr>
          <w:rFonts w:hint="eastAsia" w:ascii="仿宋_GB2312" w:hAnsi="宋体" w:eastAsia="仿宋_GB2312" w:cs="仿宋_GB2312"/>
          <w:sz w:val="32"/>
          <w:szCs w:val="28"/>
          <w:lang w:bidi="ar"/>
        </w:rPr>
        <w:t>为了保证标准的落实与应用，建议采取以下措施。</w:t>
      </w:r>
    </w:p>
    <w:p w14:paraId="7E973577">
      <w:pPr>
        <w:spacing w:after="0"/>
        <w:ind w:firstLine="640" w:firstLineChars="200"/>
        <w:rPr>
          <w:rFonts w:hint="eastAsia" w:ascii="仿宋_GB2312" w:hAnsi="宋体" w:eastAsia="仿宋_GB2312" w:cs="仿宋_GB2312"/>
          <w:sz w:val="32"/>
          <w:szCs w:val="28"/>
        </w:rPr>
      </w:pPr>
      <w:r>
        <w:rPr>
          <w:rFonts w:hint="eastAsia" w:ascii="仿宋_GB2312" w:hAnsi="宋体" w:eastAsia="仿宋_GB2312" w:cs="仿宋_GB2312"/>
          <w:sz w:val="32"/>
          <w:szCs w:val="28"/>
          <w:lang w:bidi="ar"/>
        </w:rPr>
        <w:t>1）组织措施：中国太平洋学会海洋标准化分会联合自然资源部北海海洋技术中心等单位举办宣贯培训班，组织各有关单位进行本标准的学习和培训，以提升海洋调查设备安全作业的规范化水平。</w:t>
      </w:r>
    </w:p>
    <w:p w14:paraId="51C426E0">
      <w:pPr>
        <w:spacing w:after="0"/>
        <w:ind w:firstLine="640" w:firstLineChars="200"/>
        <w:rPr>
          <w:rFonts w:hint="eastAsia" w:ascii="仿宋_GB2312" w:hAnsi="宋体" w:eastAsia="仿宋_GB2312" w:cs="仿宋_GB2312"/>
          <w:sz w:val="32"/>
          <w:szCs w:val="28"/>
          <w:lang w:bidi="ar"/>
        </w:rPr>
      </w:pPr>
      <w:r>
        <w:rPr>
          <w:rFonts w:hint="eastAsia" w:ascii="仿宋_GB2312" w:hAnsi="宋体" w:eastAsia="仿宋_GB2312" w:cs="仿宋_GB2312"/>
          <w:sz w:val="32"/>
          <w:szCs w:val="28"/>
          <w:lang w:bidi="ar"/>
        </w:rPr>
        <w:t>2）技术措施：海洋调查领域的技术总是在不断发展，需要尽快将技术规范应用到实践中，不断的收集反馈信息进行完善，同时也要跟踪前沿技术，开展关键技术研究，为下一次修订奠定基础。</w:t>
      </w:r>
    </w:p>
    <w:p w14:paraId="1A9A7425">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七、其它应予说明的事项</w:t>
      </w:r>
    </w:p>
    <w:p w14:paraId="32665EA6">
      <w:pPr>
        <w:ind w:firstLine="640" w:firstLineChars="200"/>
        <w:rPr>
          <w:rFonts w:hint="eastAsia" w:ascii="仿宋" w:hAnsi="仿宋" w:eastAsia="仿宋"/>
          <w:sz w:val="32"/>
          <w:szCs w:val="32"/>
        </w:rPr>
      </w:pPr>
      <w:r>
        <w:rPr>
          <w:rFonts w:hint="eastAsia" w:ascii="仿宋" w:hAnsi="仿宋" w:eastAsia="仿宋"/>
          <w:sz w:val="32"/>
          <w:szCs w:val="32"/>
        </w:rPr>
        <w:t>无。</w:t>
      </w:r>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038E3">
    <w:pPr>
      <w:pStyle w:val="6"/>
      <w:jc w:val="center"/>
    </w:pPr>
  </w:p>
  <w:p w14:paraId="4D6313F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A5432">
    <w:pPr>
      <w:pStyle w:val="6"/>
      <w:jc w:val="center"/>
    </w:pPr>
    <w:r>
      <w:fldChar w:fldCharType="begin"/>
    </w:r>
    <w:r>
      <w:instrText xml:space="preserve"> PAGE   \* MERGEFORMAT </w:instrText>
    </w:r>
    <w:r>
      <w:fldChar w:fldCharType="separate"/>
    </w:r>
    <w:r>
      <w:rPr>
        <w:lang w:val="zh-CN"/>
      </w:rPr>
      <w:t>1</w:t>
    </w:r>
    <w:r>
      <w:rPr>
        <w:lang w:val="zh-CN"/>
      </w:rPr>
      <w:fldChar w:fldCharType="end"/>
    </w:r>
  </w:p>
  <w:p w14:paraId="5F4CBE5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3818537"/>
    </w:sdtPr>
    <w:sdtContent>
      <w:p w14:paraId="7C6D39F4">
        <w:pPr>
          <w:pStyle w:val="6"/>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8E922"/>
    <w:multiLevelType w:val="singleLevel"/>
    <w:tmpl w:val="CE28E92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rsids>
    <w:rsidRoot w:val="00300787"/>
    <w:rsid w:val="00007DCE"/>
    <w:rsid w:val="00020857"/>
    <w:rsid w:val="000329B0"/>
    <w:rsid w:val="000504A6"/>
    <w:rsid w:val="000C0D64"/>
    <w:rsid w:val="000D3706"/>
    <w:rsid w:val="000E0CC2"/>
    <w:rsid w:val="000F09C7"/>
    <w:rsid w:val="00101BCD"/>
    <w:rsid w:val="00126B10"/>
    <w:rsid w:val="00160839"/>
    <w:rsid w:val="00162F16"/>
    <w:rsid w:val="00164CB2"/>
    <w:rsid w:val="00185484"/>
    <w:rsid w:val="002438CB"/>
    <w:rsid w:val="00285ADB"/>
    <w:rsid w:val="002B0467"/>
    <w:rsid w:val="002F1729"/>
    <w:rsid w:val="00300787"/>
    <w:rsid w:val="00312019"/>
    <w:rsid w:val="00313F89"/>
    <w:rsid w:val="00314E6B"/>
    <w:rsid w:val="003254C9"/>
    <w:rsid w:val="00335297"/>
    <w:rsid w:val="00335644"/>
    <w:rsid w:val="00342FFE"/>
    <w:rsid w:val="00345D83"/>
    <w:rsid w:val="003862E0"/>
    <w:rsid w:val="003C51F6"/>
    <w:rsid w:val="003C6906"/>
    <w:rsid w:val="003D29F9"/>
    <w:rsid w:val="003F1F10"/>
    <w:rsid w:val="00400666"/>
    <w:rsid w:val="004038C4"/>
    <w:rsid w:val="00404A3D"/>
    <w:rsid w:val="00457342"/>
    <w:rsid w:val="004A779A"/>
    <w:rsid w:val="005172E1"/>
    <w:rsid w:val="005432AC"/>
    <w:rsid w:val="00564A50"/>
    <w:rsid w:val="005822A4"/>
    <w:rsid w:val="00596DF0"/>
    <w:rsid w:val="00597466"/>
    <w:rsid w:val="005B268A"/>
    <w:rsid w:val="005B7927"/>
    <w:rsid w:val="005C28EA"/>
    <w:rsid w:val="005D5EE9"/>
    <w:rsid w:val="005E6701"/>
    <w:rsid w:val="005F2349"/>
    <w:rsid w:val="005F41B1"/>
    <w:rsid w:val="005F567E"/>
    <w:rsid w:val="006570F1"/>
    <w:rsid w:val="00661599"/>
    <w:rsid w:val="00677602"/>
    <w:rsid w:val="006C1E49"/>
    <w:rsid w:val="006E6562"/>
    <w:rsid w:val="007123D7"/>
    <w:rsid w:val="007133F9"/>
    <w:rsid w:val="00720A8B"/>
    <w:rsid w:val="0072693D"/>
    <w:rsid w:val="00750119"/>
    <w:rsid w:val="00755CE9"/>
    <w:rsid w:val="00794680"/>
    <w:rsid w:val="007E02CF"/>
    <w:rsid w:val="007E4391"/>
    <w:rsid w:val="007F7631"/>
    <w:rsid w:val="008319CF"/>
    <w:rsid w:val="00851666"/>
    <w:rsid w:val="00852978"/>
    <w:rsid w:val="0086194F"/>
    <w:rsid w:val="00864367"/>
    <w:rsid w:val="00877184"/>
    <w:rsid w:val="008A0EF7"/>
    <w:rsid w:val="008A3320"/>
    <w:rsid w:val="008B48CC"/>
    <w:rsid w:val="008F6EB3"/>
    <w:rsid w:val="00926CC0"/>
    <w:rsid w:val="00951820"/>
    <w:rsid w:val="00960AB5"/>
    <w:rsid w:val="00964D9C"/>
    <w:rsid w:val="00990B83"/>
    <w:rsid w:val="009A597C"/>
    <w:rsid w:val="009A656D"/>
    <w:rsid w:val="009C0440"/>
    <w:rsid w:val="009C0B3E"/>
    <w:rsid w:val="009C6D3E"/>
    <w:rsid w:val="009D78D7"/>
    <w:rsid w:val="00A009E5"/>
    <w:rsid w:val="00A100FE"/>
    <w:rsid w:val="00A402B9"/>
    <w:rsid w:val="00A42EAA"/>
    <w:rsid w:val="00A54604"/>
    <w:rsid w:val="00A63A7E"/>
    <w:rsid w:val="00A654AB"/>
    <w:rsid w:val="00A85DB4"/>
    <w:rsid w:val="00A94D75"/>
    <w:rsid w:val="00AD1622"/>
    <w:rsid w:val="00AE061C"/>
    <w:rsid w:val="00AE232C"/>
    <w:rsid w:val="00AE4FA7"/>
    <w:rsid w:val="00AF02C3"/>
    <w:rsid w:val="00AF3900"/>
    <w:rsid w:val="00B03442"/>
    <w:rsid w:val="00B166B0"/>
    <w:rsid w:val="00B174AE"/>
    <w:rsid w:val="00B5432C"/>
    <w:rsid w:val="00B7168C"/>
    <w:rsid w:val="00B75DF3"/>
    <w:rsid w:val="00BE5347"/>
    <w:rsid w:val="00BF006E"/>
    <w:rsid w:val="00C07A36"/>
    <w:rsid w:val="00C22560"/>
    <w:rsid w:val="00C23DF4"/>
    <w:rsid w:val="00C60223"/>
    <w:rsid w:val="00C66822"/>
    <w:rsid w:val="00C90160"/>
    <w:rsid w:val="00CA54A0"/>
    <w:rsid w:val="00CB372F"/>
    <w:rsid w:val="00CD640A"/>
    <w:rsid w:val="00CE7A39"/>
    <w:rsid w:val="00CF2D12"/>
    <w:rsid w:val="00D01527"/>
    <w:rsid w:val="00D0227A"/>
    <w:rsid w:val="00D05E8D"/>
    <w:rsid w:val="00D17A03"/>
    <w:rsid w:val="00D560E4"/>
    <w:rsid w:val="00D7198E"/>
    <w:rsid w:val="00D76243"/>
    <w:rsid w:val="00D813A7"/>
    <w:rsid w:val="00D82FD8"/>
    <w:rsid w:val="00D949C2"/>
    <w:rsid w:val="00DA1F6E"/>
    <w:rsid w:val="00DD1F8C"/>
    <w:rsid w:val="00DD2844"/>
    <w:rsid w:val="00DD6694"/>
    <w:rsid w:val="00DE0810"/>
    <w:rsid w:val="00E051EA"/>
    <w:rsid w:val="00E70433"/>
    <w:rsid w:val="00E7097F"/>
    <w:rsid w:val="00E77FD3"/>
    <w:rsid w:val="00E80B4D"/>
    <w:rsid w:val="00E834E8"/>
    <w:rsid w:val="00EA532E"/>
    <w:rsid w:val="00EB6247"/>
    <w:rsid w:val="00EC7FF5"/>
    <w:rsid w:val="00EF33F0"/>
    <w:rsid w:val="00F261DF"/>
    <w:rsid w:val="00F60606"/>
    <w:rsid w:val="00F825C2"/>
    <w:rsid w:val="00F937CF"/>
    <w:rsid w:val="00FA497A"/>
    <w:rsid w:val="00FA7C74"/>
    <w:rsid w:val="00FB63AF"/>
    <w:rsid w:val="00FB7E0E"/>
    <w:rsid w:val="00FC7521"/>
    <w:rsid w:val="014B3E12"/>
    <w:rsid w:val="0D5F347D"/>
    <w:rsid w:val="14695FDB"/>
    <w:rsid w:val="24A5625F"/>
    <w:rsid w:val="2A2C10FC"/>
    <w:rsid w:val="2BF37A45"/>
    <w:rsid w:val="2F860BD0"/>
    <w:rsid w:val="31E2488F"/>
    <w:rsid w:val="32CC4EC1"/>
    <w:rsid w:val="36F007AF"/>
    <w:rsid w:val="39802D74"/>
    <w:rsid w:val="3E9240B8"/>
    <w:rsid w:val="41833C3E"/>
    <w:rsid w:val="43583BD6"/>
    <w:rsid w:val="462F56C6"/>
    <w:rsid w:val="487D096B"/>
    <w:rsid w:val="49853F5D"/>
    <w:rsid w:val="55091D8E"/>
    <w:rsid w:val="5C417EE1"/>
    <w:rsid w:val="5D042FB1"/>
    <w:rsid w:val="5DC664B8"/>
    <w:rsid w:val="60D1499D"/>
    <w:rsid w:val="6716400D"/>
    <w:rsid w:val="6A9040D6"/>
    <w:rsid w:val="6ADE4CBA"/>
    <w:rsid w:val="71C50534"/>
    <w:rsid w:val="74312486"/>
    <w:rsid w:val="7EE06F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qFormat/>
    <w:uiPriority w:val="99"/>
    <w:rPr>
      <w:rFonts w:ascii="宋体"/>
      <w:sz w:val="18"/>
      <w:szCs w:val="18"/>
    </w:rPr>
  </w:style>
  <w:style w:type="paragraph" w:styleId="3">
    <w:name w:val="annotation text"/>
    <w:basedOn w:val="1"/>
    <w:link w:val="17"/>
    <w:semiHidden/>
    <w:unhideWhenUsed/>
    <w:qFormat/>
    <w:uiPriority w:val="99"/>
    <w:pPr>
      <w:jc w:val="left"/>
    </w:pPr>
  </w:style>
  <w:style w:type="paragraph" w:styleId="4">
    <w:name w:val="Body Text Indent"/>
    <w:basedOn w:val="1"/>
    <w:link w:val="14"/>
    <w:qFormat/>
    <w:uiPriority w:val="0"/>
    <w:pPr>
      <w:spacing w:after="120"/>
      <w:ind w:left="420" w:leftChars="200"/>
    </w:pPr>
    <w:rPr>
      <w:rFonts w:ascii="Times New Roman" w:hAnsi="Times New Roman"/>
      <w:kern w:val="0"/>
      <w:sz w:val="20"/>
      <w:szCs w:val="20"/>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99"/>
    <w:rPr>
      <w:rFonts w:ascii="Calibri" w:hAnsi="Calibri" w:eastAsia="宋体" w:cs="Times New Roman"/>
      <w:sz w:val="18"/>
      <w:szCs w:val="18"/>
    </w:rPr>
  </w:style>
  <w:style w:type="character" w:customStyle="1" w:styleId="13">
    <w:name w:val="页脚 字符"/>
    <w:basedOn w:val="10"/>
    <w:link w:val="6"/>
    <w:qFormat/>
    <w:uiPriority w:val="99"/>
    <w:rPr>
      <w:rFonts w:ascii="Calibri" w:hAnsi="Calibri" w:eastAsia="宋体" w:cs="Times New Roman"/>
      <w:sz w:val="18"/>
      <w:szCs w:val="18"/>
    </w:rPr>
  </w:style>
  <w:style w:type="character" w:customStyle="1" w:styleId="14">
    <w:name w:val="正文文本缩进 字符"/>
    <w:basedOn w:val="10"/>
    <w:link w:val="4"/>
    <w:qFormat/>
    <w:uiPriority w:val="0"/>
    <w:rPr>
      <w:rFonts w:ascii="Times New Roman" w:hAnsi="Times New Roman" w:eastAsia="宋体" w:cs="Times New Roman"/>
      <w:kern w:val="0"/>
      <w:sz w:val="20"/>
      <w:szCs w:val="20"/>
    </w:rPr>
  </w:style>
  <w:style w:type="character" w:customStyle="1" w:styleId="15">
    <w:name w:val="文档结构图 字符"/>
    <w:basedOn w:val="10"/>
    <w:link w:val="2"/>
    <w:semiHidden/>
    <w:qFormat/>
    <w:uiPriority w:val="99"/>
    <w:rPr>
      <w:rFonts w:ascii="宋体" w:hAnsi="Calibri" w:eastAsia="宋体" w:cs="Times New Roman"/>
      <w:sz w:val="18"/>
      <w:szCs w:val="18"/>
    </w:rPr>
  </w:style>
  <w:style w:type="character" w:customStyle="1" w:styleId="16">
    <w:name w:val="批注框文本 字符"/>
    <w:basedOn w:val="10"/>
    <w:link w:val="5"/>
    <w:semiHidden/>
    <w:qFormat/>
    <w:uiPriority w:val="99"/>
    <w:rPr>
      <w:rFonts w:ascii="Calibri" w:hAnsi="Calibri" w:eastAsia="宋体" w:cs="Times New Roman"/>
      <w:sz w:val="18"/>
      <w:szCs w:val="18"/>
    </w:rPr>
  </w:style>
  <w:style w:type="character" w:customStyle="1" w:styleId="17">
    <w:name w:val="批注文字 字符"/>
    <w:basedOn w:val="10"/>
    <w:link w:val="3"/>
    <w:semiHidden/>
    <w:qFormat/>
    <w:uiPriority w:val="99"/>
    <w:rPr>
      <w:rFonts w:ascii="Calibri" w:hAnsi="Calibri" w:eastAsia="宋体" w:cs="Times New Roman"/>
    </w:rPr>
  </w:style>
  <w:style w:type="character" w:customStyle="1" w:styleId="18">
    <w:name w:val="批注主题 字符"/>
    <w:basedOn w:val="17"/>
    <w:link w:val="8"/>
    <w:semiHidden/>
    <w:qFormat/>
    <w:uiPriority w:val="99"/>
    <w:rPr>
      <w:rFonts w:ascii="Calibri" w:hAnsi="Calibri" w:eastAsia="宋体" w:cs="Times New Roman"/>
      <w:b/>
      <w:bCs/>
    </w:rPr>
  </w:style>
  <w:style w:type="paragraph" w:customStyle="1" w:styleId="19">
    <w:name w:val="修订1"/>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2266</Words>
  <Characters>2298</Characters>
  <Lines>16</Lines>
  <Paragraphs>4</Paragraphs>
  <TotalTime>173</TotalTime>
  <ScaleCrop>false</ScaleCrop>
  <LinksUpToDate>false</LinksUpToDate>
  <CharactersWithSpaces>2298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2017-10-15T06:00:00Z</dcterms:created>
  <dc:creator>zhangyange</dc:creator>
  <cp:lastModifiedBy>张莹</cp:lastModifiedBy>
  <dcterms:modified xsi:type="dcterms:W3CDTF">2026-05-16T01:54:04Z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eyJoZGlkIjoiODQ3OTc0YWIwOWE5ZTcxZTY3ODFiYTMwNGZmMDdlOTkiLCJ1c2VySWQiOiIyNTU0NTY4OTUifQ==</vt:lpwstr>
  </property>
  <property fmtid="{D5CDD505-2E9C-101B-9397-08002B2CF9AE}" pid="4" name="ICV">
    <vt:lpwstr>869FAAF33DF14957B8DEA10BC99903DF_13</vt:lpwstr>
  </property>
</Properties>
</file>