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A2D47">
      <w:pPr>
        <w:pStyle w:val="8"/>
        <w:spacing w:before="67"/>
        <w:ind w:left="110" w:firstLine="420"/>
        <w:rPr>
          <w:rFonts w:hint="eastAsia" w:ascii="Times New Roman"/>
          <w:lang w:eastAsia="zh-CN"/>
        </w:rPr>
      </w:pPr>
      <w:bookmarkStart w:id="0" w:name="OLE_LINK46"/>
      <w:r>
        <w:rPr>
          <w:rFonts w:ascii="Times New Roman"/>
          <w:lang w:eastAsia="zh-CN"/>
        </w:rPr>
        <w:t>ICS</w:t>
      </w:r>
    </w:p>
    <w:p w14:paraId="7C37B62F">
      <w:pPr>
        <w:pStyle w:val="8"/>
        <w:spacing w:before="43"/>
        <w:ind w:left="110" w:firstLine="420"/>
        <w:rPr>
          <w:rFonts w:hint="eastAsia" w:ascii="黑体" w:eastAsia="黑体"/>
          <w:lang w:eastAsia="zh-CN"/>
        </w:rPr>
      </w:pPr>
      <w:r>
        <w:rPr>
          <w:rFonts w:ascii="Times New Roman" w:eastAsia="Times New Roman"/>
          <w:position w:val="1"/>
          <w:lang w:eastAsia="zh-CN"/>
        </w:rPr>
        <w:t xml:space="preserve">CCS </w:t>
      </w:r>
      <w:r>
        <w:rPr>
          <w:rFonts w:hint="eastAsia" w:ascii="黑体" w:eastAsia="黑体"/>
          <w:lang w:eastAsia="zh-CN"/>
        </w:rPr>
        <w:t>点击此处添加 CCS 号</w:t>
      </w:r>
    </w:p>
    <w:p w14:paraId="00552E87">
      <w:pPr>
        <w:pStyle w:val="8"/>
        <w:spacing w:before="6"/>
        <w:ind w:firstLine="420"/>
        <w:rPr>
          <w:rFonts w:hint="eastAsia" w:ascii="黑体"/>
          <w:sz w:val="15"/>
          <w:lang w:eastAsia="zh-CN"/>
        </w:rPr>
      </w:pPr>
    </w:p>
    <w:p w14:paraId="5EE6917C">
      <w:pPr>
        <w:pStyle w:val="8"/>
        <w:ind w:firstLine="260"/>
        <w:rPr>
          <w:rFonts w:hint="eastAsia" w:ascii="黑体"/>
          <w:sz w:val="13"/>
          <w:lang w:eastAsia="zh-CN"/>
        </w:rPr>
      </w:pPr>
    </w:p>
    <w:p w14:paraId="4E6834D7">
      <w:pPr>
        <w:keepNext w:val="0"/>
        <w:keepLines w:val="0"/>
        <w:pageBreakBefore w:val="0"/>
        <w:widowControl w:val="0"/>
        <w:tabs>
          <w:tab w:val="left" w:pos="6611"/>
          <w:tab w:val="left" w:pos="7907"/>
          <w:tab w:val="left" w:pos="9203"/>
        </w:tabs>
        <w:kinsoku/>
        <w:wordWrap/>
        <w:overflowPunct/>
        <w:topLinePunct w:val="0"/>
        <w:autoSpaceDE w:val="0"/>
        <w:autoSpaceDN w:val="0"/>
        <w:bidi w:val="0"/>
        <w:adjustRightInd/>
        <w:snapToGrid/>
        <w:spacing w:before="33"/>
        <w:ind w:left="0" w:firstLine="0" w:firstLineChars="0"/>
        <w:jc w:val="center"/>
        <w:textAlignment w:val="auto"/>
        <w:rPr>
          <w:rFonts w:hint="eastAsia" w:ascii="黑体" w:hAnsi="黑体" w:eastAsia="黑体" w:cs="黑体"/>
          <w:sz w:val="84"/>
          <w:szCs w:val="84"/>
          <w:lang w:eastAsia="zh-CN"/>
        </w:rPr>
      </w:pPr>
      <w:r>
        <w:rPr>
          <w:rFonts w:hint="eastAsia" w:ascii="黑体" w:hAnsi="黑体" w:eastAsia="黑体" w:cs="黑体"/>
          <w:sz w:val="84"/>
          <w:szCs w:val="84"/>
          <w:lang w:eastAsia="zh-CN"/>
        </w:rPr>
        <w:t>团</w:t>
      </w:r>
      <w:r>
        <w:rPr>
          <w:rFonts w:hint="eastAsia" w:ascii="黑体" w:hAnsi="黑体" w:eastAsia="黑体" w:cs="黑体"/>
          <w:sz w:val="84"/>
          <w:szCs w:val="84"/>
          <w:lang w:val="en-US" w:eastAsia="zh-CN"/>
        </w:rPr>
        <w:t xml:space="preserve">    </w:t>
      </w:r>
      <w:r>
        <w:rPr>
          <w:rFonts w:hint="eastAsia" w:ascii="黑体" w:hAnsi="黑体" w:eastAsia="黑体" w:cs="黑体"/>
          <w:sz w:val="84"/>
          <w:szCs w:val="84"/>
          <w:lang w:eastAsia="zh-CN"/>
        </w:rPr>
        <w:t>体</w:t>
      </w:r>
      <w:r>
        <w:rPr>
          <w:rFonts w:hint="eastAsia" w:ascii="黑体" w:hAnsi="黑体" w:eastAsia="黑体" w:cs="黑体"/>
          <w:sz w:val="84"/>
          <w:szCs w:val="84"/>
          <w:lang w:val="en-US" w:eastAsia="zh-CN"/>
        </w:rPr>
        <w:t xml:space="preserve">    </w:t>
      </w:r>
      <w:r>
        <w:rPr>
          <w:rFonts w:hint="eastAsia" w:ascii="黑体" w:hAnsi="黑体" w:eastAsia="黑体" w:cs="黑体"/>
          <w:sz w:val="84"/>
          <w:szCs w:val="84"/>
          <w:lang w:eastAsia="zh-CN"/>
        </w:rPr>
        <w:t>标</w:t>
      </w:r>
      <w:r>
        <w:rPr>
          <w:rFonts w:hint="eastAsia" w:ascii="黑体" w:hAnsi="黑体" w:eastAsia="黑体" w:cs="黑体"/>
          <w:sz w:val="84"/>
          <w:szCs w:val="84"/>
          <w:lang w:val="en-US" w:eastAsia="zh-CN"/>
        </w:rPr>
        <w:t xml:space="preserve">    </w:t>
      </w:r>
      <w:r>
        <w:rPr>
          <w:rFonts w:hint="eastAsia" w:ascii="黑体" w:hAnsi="黑体" w:eastAsia="黑体" w:cs="黑体"/>
          <w:sz w:val="84"/>
          <w:szCs w:val="84"/>
          <w:lang w:eastAsia="zh-CN"/>
        </w:rPr>
        <w:t>准</w:t>
      </w:r>
    </w:p>
    <w:p w14:paraId="0EBFE876">
      <w:pPr>
        <w:pStyle w:val="3"/>
        <w:ind w:firstLine="7980" w:firstLineChars="3800"/>
      </w:pPr>
      <w:bookmarkStart w:id="1" w:name="_Toc25627"/>
      <w:bookmarkStart w:id="2" w:name="_Toc19326"/>
      <w:bookmarkStart w:id="3" w:name="_Toc228826556"/>
      <w:bookmarkStart w:id="4" w:name="_Toc228824477"/>
      <w:bookmarkStart w:id="5" w:name="_Toc228826430"/>
      <w:bookmarkStart w:id="6" w:name="_Toc228825550"/>
      <w:bookmarkStart w:id="7" w:name="_Toc228825804"/>
      <w:bookmarkStart w:id="8" w:name="_Toc228825671"/>
      <w:r>
        <w:t>T/XXX</w:t>
      </w:r>
      <w:r>
        <w:rPr>
          <w:spacing w:val="-6"/>
        </w:rPr>
        <w:t xml:space="preserve"> </w:t>
      </w:r>
      <w:r>
        <w:t>XXXX—2025</w:t>
      </w:r>
      <w:bookmarkEnd w:id="1"/>
      <w:bookmarkEnd w:id="2"/>
      <w:bookmarkEnd w:id="3"/>
      <w:bookmarkEnd w:id="4"/>
      <w:bookmarkEnd w:id="5"/>
      <w:bookmarkEnd w:id="6"/>
      <w:bookmarkEnd w:id="7"/>
      <w:bookmarkEnd w:id="8"/>
    </w:p>
    <w:p w14:paraId="7345ADDD">
      <w:pPr>
        <w:pStyle w:val="8"/>
        <w:ind w:firstLine="400"/>
        <w:rPr>
          <w:rFonts w:hint="eastAsia" w:ascii="黑体"/>
          <w:sz w:val="20"/>
          <w:lang w:eastAsia="zh-CN"/>
        </w:rPr>
      </w:pPr>
    </w:p>
    <w:p w14:paraId="532BDD90">
      <w:pPr>
        <w:pStyle w:val="8"/>
        <w:spacing w:before="5"/>
        <w:ind w:firstLine="420"/>
        <w:rPr>
          <w:rFonts w:hint="eastAsia" w:ascii="黑体"/>
          <w:sz w:val="28"/>
          <w:lang w:eastAsia="zh-CN"/>
        </w:rPr>
      </w:pPr>
      <w:r>
        <mc:AlternateContent>
          <mc:Choice Requires="wps">
            <w:drawing>
              <wp:anchor distT="0" distB="0" distL="0" distR="0" simplePos="0" relativeHeight="251659264" behindDoc="1" locked="0" layoutInCell="1" allowOverlap="1">
                <wp:simplePos x="0" y="0"/>
                <wp:positionH relativeFrom="page">
                  <wp:posOffset>900430</wp:posOffset>
                </wp:positionH>
                <wp:positionV relativeFrom="paragraph">
                  <wp:posOffset>260985</wp:posOffset>
                </wp:positionV>
                <wp:extent cx="6120130" cy="1270"/>
                <wp:effectExtent l="0" t="4445" r="4445" b="3810"/>
                <wp:wrapTopAndBottom/>
                <wp:docPr id="8" name="任意多边形 5"/>
                <wp:cNvGraphicFramePr/>
                <a:graphic xmlns:a="http://schemas.openxmlformats.org/drawingml/2006/main">
                  <a:graphicData uri="http://schemas.microsoft.com/office/word/2010/wordprocessingShape">
                    <wps:wsp>
                      <wps:cNvSpPr/>
                      <wps:spPr>
                        <a:xfrm>
                          <a:off x="0" y="0"/>
                          <a:ext cx="6120130" cy="1270"/>
                        </a:xfrm>
                        <a:custGeom>
                          <a:avLst/>
                          <a:gdLst/>
                          <a:ahLst/>
                          <a:cxnLst/>
                          <a:rect l="0" t="0" r="0" b="0"/>
                          <a:pathLst>
                            <a:path w="9638">
                              <a:moveTo>
                                <a:pt x="0" y="0"/>
                              </a:moveTo>
                              <a:lnTo>
                                <a:pt x="9638" y="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任意多边形 5" o:spid="_x0000_s1026" o:spt="100" style="position:absolute;left:0pt;margin-left:70.9pt;margin-top:20.55pt;height:0.1pt;width:481.9pt;mso-position-horizontal-relative:page;mso-wrap-distance-bottom:0pt;mso-wrap-distance-top:0pt;z-index:-251657216;mso-width-relative:page;mso-height-relative:page;" filled="f" stroked="t" coordsize="9638,1" o:gfxdata="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fOu15toAAAAKAQAADwAAAAAAAAABACAAAAAiAAAAZHJzL2Rvd25y&#10;ZXYueG1sUEsBAhQAFAAAAAgAh07iQEgwtfA1AgAApgQAAA4AAAAAAAAAAQAgAAAAKQEAAGRycy9l&#10;Mm9Eb2MueG1sUEsFBgAAAAAGAAYAWQEAANAFAAAAAA==&#10;" path="m0,0l9638,0e">
                <v:fill on="f" focussize="0,0"/>
                <v:stroke color="#000000" joinstyle="round"/>
                <v:imagedata o:title=""/>
                <o:lock v:ext="edit" aspectratio="f"/>
                <w10:wrap type="topAndBottom"/>
              </v:shape>
            </w:pict>
          </mc:Fallback>
        </mc:AlternateContent>
      </w:r>
    </w:p>
    <w:p w14:paraId="54DFB4E7">
      <w:pPr>
        <w:pStyle w:val="8"/>
        <w:ind w:firstLine="560"/>
        <w:rPr>
          <w:rFonts w:hint="eastAsia" w:ascii="黑体"/>
          <w:sz w:val="28"/>
          <w:lang w:eastAsia="zh-CN"/>
        </w:rPr>
      </w:pPr>
    </w:p>
    <w:p w14:paraId="252BE8B9">
      <w:pPr>
        <w:pStyle w:val="8"/>
        <w:ind w:firstLine="560"/>
        <w:rPr>
          <w:rFonts w:hint="eastAsia" w:ascii="黑体"/>
          <w:sz w:val="28"/>
          <w:lang w:eastAsia="zh-CN"/>
        </w:rPr>
      </w:pPr>
    </w:p>
    <w:p w14:paraId="208BBCC7">
      <w:pPr>
        <w:pStyle w:val="8"/>
        <w:ind w:firstLine="560"/>
        <w:rPr>
          <w:rFonts w:hint="eastAsia" w:ascii="黑体"/>
          <w:sz w:val="28"/>
          <w:lang w:eastAsia="zh-CN"/>
        </w:rPr>
      </w:pPr>
    </w:p>
    <w:p w14:paraId="2BD5E148">
      <w:pPr>
        <w:pStyle w:val="8"/>
        <w:ind w:firstLine="560"/>
        <w:rPr>
          <w:rFonts w:hint="eastAsia" w:ascii="黑体"/>
          <w:sz w:val="28"/>
          <w:lang w:eastAsia="zh-CN"/>
        </w:rPr>
      </w:pPr>
    </w:p>
    <w:p w14:paraId="47304978">
      <w:pPr>
        <w:pStyle w:val="8"/>
        <w:ind w:firstLine="560"/>
        <w:rPr>
          <w:rFonts w:hint="eastAsia" w:ascii="黑体"/>
          <w:sz w:val="28"/>
          <w:lang w:eastAsia="zh-CN"/>
        </w:rPr>
      </w:pPr>
    </w:p>
    <w:p w14:paraId="227F50EB">
      <w:pPr>
        <w:pStyle w:val="8"/>
        <w:spacing w:before="3"/>
        <w:ind w:firstLine="560"/>
        <w:rPr>
          <w:rFonts w:hint="eastAsia" w:ascii="黑体"/>
          <w:sz w:val="28"/>
          <w:lang w:eastAsia="zh-CN"/>
        </w:rPr>
      </w:pPr>
    </w:p>
    <w:p w14:paraId="0950166D">
      <w:pPr>
        <w:pStyle w:val="21"/>
        <w:ind w:firstLine="1040"/>
        <w:rPr>
          <w:rFonts w:hint="eastAsia"/>
          <w:lang w:eastAsia="zh-CN"/>
        </w:rPr>
      </w:pPr>
      <w:r>
        <w:rPr>
          <w:rFonts w:hint="eastAsia"/>
          <w:lang w:eastAsia="zh-CN"/>
        </w:rPr>
        <w:t>民用电动垂直起降固定翼无人机船上安全作业技术规程</w:t>
      </w:r>
    </w:p>
    <w:p w14:paraId="19E898C6">
      <w:pPr>
        <w:pStyle w:val="8"/>
        <w:ind w:firstLine="600"/>
        <w:rPr>
          <w:rFonts w:hint="eastAsia" w:ascii="Times New Roman"/>
          <w:sz w:val="30"/>
          <w:lang w:eastAsia="zh-CN"/>
        </w:rPr>
      </w:pPr>
    </w:p>
    <w:p w14:paraId="1BF1EE05">
      <w:pPr>
        <w:pStyle w:val="8"/>
        <w:ind w:firstLine="600"/>
        <w:jc w:val="center"/>
        <w:rPr>
          <w:rFonts w:hint="eastAsia" w:ascii="Times New Roman"/>
          <w:sz w:val="30"/>
          <w:lang w:eastAsia="zh-CN"/>
        </w:rPr>
      </w:pPr>
      <w:bookmarkStart w:id="9" w:name="_Toc29330"/>
      <w:bookmarkStart w:id="10" w:name="_Toc2393"/>
      <w:bookmarkStart w:id="11" w:name="_Toc228825551"/>
      <w:bookmarkStart w:id="12" w:name="_Toc228824479"/>
      <w:bookmarkStart w:id="13" w:name="_Toc228825672"/>
      <w:bookmarkStart w:id="14" w:name="_Toc228825805"/>
      <w:bookmarkStart w:id="15" w:name="OLE_LINK67"/>
      <w:r>
        <w:rPr>
          <w:rFonts w:hint="eastAsia" w:ascii="Times New Roman"/>
          <w:sz w:val="30"/>
          <w:lang w:eastAsia="zh-CN"/>
        </w:rPr>
        <w:t>T</w:t>
      </w:r>
      <w:r>
        <w:rPr>
          <w:rFonts w:ascii="Times New Roman"/>
          <w:sz w:val="30"/>
        </w:rPr>
        <w:t>echnical</w:t>
      </w:r>
      <w:r>
        <w:rPr>
          <w:rFonts w:hint="eastAsia" w:ascii="Times New Roman"/>
          <w:sz w:val="30"/>
          <w:lang w:eastAsia="zh-CN"/>
        </w:rPr>
        <w:t xml:space="preserve"> </w:t>
      </w:r>
      <w:r>
        <w:rPr>
          <w:rFonts w:ascii="Times New Roman"/>
          <w:sz w:val="30"/>
        </w:rPr>
        <w:t xml:space="preserve">specification for </w:t>
      </w:r>
      <w:r>
        <w:rPr>
          <w:rFonts w:hint="eastAsia" w:ascii="Times New Roman"/>
          <w:sz w:val="30"/>
          <w:lang w:eastAsia="zh-CN"/>
        </w:rPr>
        <w:t>s</w:t>
      </w:r>
      <w:r>
        <w:rPr>
          <w:rFonts w:ascii="Times New Roman"/>
          <w:sz w:val="30"/>
        </w:rPr>
        <w:t xml:space="preserve">hipboard </w:t>
      </w:r>
      <w:r>
        <w:rPr>
          <w:rFonts w:hint="eastAsia" w:ascii="Times New Roman"/>
          <w:sz w:val="30"/>
          <w:lang w:eastAsia="zh-CN"/>
        </w:rPr>
        <w:t>s</w:t>
      </w:r>
      <w:r>
        <w:rPr>
          <w:rFonts w:ascii="Times New Roman"/>
          <w:sz w:val="30"/>
        </w:rPr>
        <w:t>afety</w:t>
      </w:r>
      <w:r>
        <w:rPr>
          <w:rFonts w:hint="eastAsia" w:ascii="Times New Roman"/>
          <w:sz w:val="30"/>
          <w:lang w:eastAsia="zh-CN"/>
        </w:rPr>
        <w:t xml:space="preserve"> o</w:t>
      </w:r>
      <w:r>
        <w:rPr>
          <w:rFonts w:ascii="Times New Roman"/>
          <w:sz w:val="30"/>
        </w:rPr>
        <w:t xml:space="preserve">peration of </w:t>
      </w:r>
      <w:r>
        <w:rPr>
          <w:rFonts w:hint="eastAsia" w:ascii="Times New Roman"/>
          <w:sz w:val="30"/>
          <w:lang w:eastAsia="zh-CN"/>
        </w:rPr>
        <w:t>c</w:t>
      </w:r>
      <w:r>
        <w:rPr>
          <w:rFonts w:ascii="Times New Roman"/>
          <w:sz w:val="30"/>
        </w:rPr>
        <w:t xml:space="preserve">ivil </w:t>
      </w:r>
      <w:r>
        <w:rPr>
          <w:rFonts w:hint="eastAsia" w:ascii="Times New Roman"/>
          <w:sz w:val="30"/>
          <w:lang w:eastAsia="zh-CN"/>
        </w:rPr>
        <w:t>e</w:t>
      </w:r>
      <w:r>
        <w:rPr>
          <w:rFonts w:ascii="Times New Roman"/>
          <w:sz w:val="30"/>
        </w:rPr>
        <w:t xml:space="preserve">lectric </w:t>
      </w:r>
      <w:r>
        <w:rPr>
          <w:rFonts w:hint="eastAsia" w:ascii="Times New Roman"/>
          <w:sz w:val="30"/>
          <w:lang w:eastAsia="zh-CN"/>
        </w:rPr>
        <w:t>v</w:t>
      </w:r>
      <w:r>
        <w:rPr>
          <w:rFonts w:ascii="Times New Roman"/>
          <w:sz w:val="30"/>
        </w:rPr>
        <w:t xml:space="preserve">ertical </w:t>
      </w:r>
      <w:r>
        <w:rPr>
          <w:rFonts w:hint="eastAsia" w:ascii="Times New Roman"/>
          <w:sz w:val="30"/>
          <w:lang w:eastAsia="zh-CN"/>
        </w:rPr>
        <w:t>t</w:t>
      </w:r>
      <w:r>
        <w:rPr>
          <w:rFonts w:ascii="Times New Roman"/>
          <w:sz w:val="30"/>
        </w:rPr>
        <w:t xml:space="preserve">ake-off and </w:t>
      </w:r>
      <w:r>
        <w:rPr>
          <w:rFonts w:hint="eastAsia" w:ascii="Times New Roman"/>
          <w:sz w:val="30"/>
          <w:lang w:eastAsia="zh-CN"/>
        </w:rPr>
        <w:t>l</w:t>
      </w:r>
      <w:r>
        <w:rPr>
          <w:rFonts w:ascii="Times New Roman"/>
          <w:sz w:val="30"/>
        </w:rPr>
        <w:t xml:space="preserve">anding  </w:t>
      </w:r>
      <w:r>
        <w:rPr>
          <w:rFonts w:hint="eastAsia" w:ascii="Times New Roman"/>
          <w:sz w:val="30"/>
          <w:lang w:eastAsia="zh-CN"/>
        </w:rPr>
        <w:t>f</w:t>
      </w:r>
      <w:r>
        <w:rPr>
          <w:rFonts w:ascii="Times New Roman"/>
          <w:sz w:val="30"/>
        </w:rPr>
        <w:t>ixed-</w:t>
      </w:r>
      <w:r>
        <w:rPr>
          <w:rFonts w:hint="eastAsia" w:ascii="Times New Roman"/>
          <w:sz w:val="30"/>
          <w:lang w:eastAsia="zh-CN"/>
        </w:rPr>
        <w:t>w</w:t>
      </w:r>
      <w:r>
        <w:rPr>
          <w:rFonts w:ascii="Times New Roman"/>
          <w:sz w:val="30"/>
        </w:rPr>
        <w:t xml:space="preserve">ing </w:t>
      </w:r>
      <w:r>
        <w:rPr>
          <w:rFonts w:hint="eastAsia" w:ascii="Times New Roman"/>
          <w:sz w:val="30"/>
          <w:lang w:eastAsia="zh-CN"/>
        </w:rPr>
        <w:t>u</w:t>
      </w:r>
      <w:r>
        <w:rPr>
          <w:rFonts w:ascii="Times New Roman"/>
          <w:sz w:val="30"/>
        </w:rPr>
        <w:t>nmanned aircraft</w:t>
      </w:r>
      <w:bookmarkEnd w:id="9"/>
      <w:bookmarkEnd w:id="10"/>
      <w:bookmarkEnd w:id="11"/>
      <w:bookmarkEnd w:id="12"/>
      <w:bookmarkEnd w:id="13"/>
      <w:bookmarkEnd w:id="14"/>
    </w:p>
    <w:bookmarkEnd w:id="15"/>
    <w:p w14:paraId="7646A154">
      <w:pPr>
        <w:pStyle w:val="8"/>
        <w:ind w:firstLine="600"/>
        <w:rPr>
          <w:rFonts w:hint="eastAsia" w:ascii="Times New Roman"/>
          <w:sz w:val="30"/>
        </w:rPr>
      </w:pPr>
    </w:p>
    <w:p w14:paraId="0F6300A7">
      <w:pPr>
        <w:pStyle w:val="8"/>
        <w:ind w:firstLine="600"/>
        <w:rPr>
          <w:rFonts w:hint="eastAsia" w:ascii="Times New Roman"/>
          <w:sz w:val="30"/>
        </w:rPr>
      </w:pPr>
    </w:p>
    <w:p w14:paraId="641CB978">
      <w:pPr>
        <w:pStyle w:val="8"/>
        <w:ind w:firstLine="600"/>
        <w:rPr>
          <w:rFonts w:hint="eastAsia" w:ascii="Times New Roman"/>
          <w:sz w:val="30"/>
        </w:rPr>
      </w:pPr>
    </w:p>
    <w:p w14:paraId="3D041047">
      <w:pPr>
        <w:pStyle w:val="8"/>
        <w:tabs>
          <w:tab w:val="left" w:pos="4384"/>
        </w:tabs>
        <w:ind w:firstLine="600"/>
        <w:rPr>
          <w:rFonts w:hint="eastAsia" w:ascii="Times New Roman"/>
          <w:sz w:val="30"/>
          <w:lang w:eastAsia="zh-CN"/>
        </w:rPr>
      </w:pPr>
      <w:r>
        <w:rPr>
          <w:rFonts w:hint="eastAsia" w:ascii="Times New Roman"/>
          <w:sz w:val="30"/>
          <w:lang w:eastAsia="zh-CN"/>
        </w:rPr>
        <w:tab/>
      </w:r>
    </w:p>
    <w:p w14:paraId="5FF14BE8">
      <w:pPr>
        <w:spacing w:before="203"/>
        <w:ind w:left="682" w:right="658" w:firstLine="480"/>
        <w:jc w:val="center"/>
        <w:rPr>
          <w:rFonts w:hint="eastAsia"/>
          <w:sz w:val="24"/>
          <w:lang w:eastAsia="zh-CN"/>
        </w:rPr>
      </w:pPr>
      <w:r>
        <w:rPr>
          <w:sz w:val="24"/>
          <w:lang w:eastAsia="zh-CN"/>
        </w:rPr>
        <w:t>（</w:t>
      </w:r>
      <w:r>
        <w:rPr>
          <w:rFonts w:hint="eastAsia"/>
          <w:sz w:val="24"/>
          <w:lang w:eastAsia="zh-CN"/>
        </w:rPr>
        <w:t>征求意见</w:t>
      </w:r>
      <w:r>
        <w:rPr>
          <w:sz w:val="24"/>
          <w:lang w:eastAsia="zh-CN"/>
        </w:rPr>
        <w:t>稿）</w:t>
      </w:r>
    </w:p>
    <w:p w14:paraId="46F9F47F">
      <w:pPr>
        <w:pStyle w:val="8"/>
        <w:ind w:firstLine="480"/>
        <w:rPr>
          <w:rFonts w:hint="eastAsia"/>
          <w:sz w:val="24"/>
          <w:lang w:eastAsia="zh-CN"/>
        </w:rPr>
      </w:pPr>
    </w:p>
    <w:p w14:paraId="7E259795">
      <w:pPr>
        <w:pStyle w:val="8"/>
        <w:ind w:firstLine="480"/>
        <w:rPr>
          <w:rFonts w:hint="eastAsia"/>
          <w:sz w:val="24"/>
          <w:lang w:eastAsia="zh-CN"/>
        </w:rPr>
      </w:pPr>
    </w:p>
    <w:p w14:paraId="03351B1B">
      <w:pPr>
        <w:pStyle w:val="8"/>
        <w:ind w:firstLine="480"/>
        <w:rPr>
          <w:rFonts w:hint="eastAsia"/>
          <w:sz w:val="24"/>
          <w:lang w:eastAsia="zh-CN"/>
        </w:rPr>
      </w:pPr>
    </w:p>
    <w:p w14:paraId="275D848C">
      <w:pPr>
        <w:pStyle w:val="8"/>
        <w:spacing w:before="6"/>
        <w:ind w:firstLine="380"/>
        <w:rPr>
          <w:rFonts w:hint="eastAsia"/>
          <w:sz w:val="19"/>
          <w:lang w:eastAsia="zh-CN"/>
        </w:rPr>
      </w:pPr>
    </w:p>
    <w:p w14:paraId="49B2A901">
      <w:pPr>
        <w:ind w:left="682" w:right="658" w:firstLine="422"/>
        <w:jc w:val="center"/>
        <w:rPr>
          <w:rFonts w:hint="eastAsia"/>
          <w:b/>
          <w:lang w:eastAsia="zh-CN"/>
        </w:rPr>
      </w:pPr>
    </w:p>
    <w:p w14:paraId="660A7A68">
      <w:pPr>
        <w:pStyle w:val="8"/>
        <w:ind w:firstLine="402"/>
        <w:rPr>
          <w:rFonts w:hint="eastAsia"/>
          <w:b/>
          <w:sz w:val="20"/>
          <w:lang w:eastAsia="zh-CN"/>
        </w:rPr>
      </w:pPr>
    </w:p>
    <w:p w14:paraId="3B06C8F7">
      <w:pPr>
        <w:pStyle w:val="8"/>
        <w:ind w:firstLine="402"/>
        <w:rPr>
          <w:rFonts w:hint="eastAsia"/>
          <w:b/>
          <w:sz w:val="20"/>
          <w:lang w:eastAsia="zh-CN"/>
        </w:rPr>
      </w:pPr>
    </w:p>
    <w:p w14:paraId="0E5875C3">
      <w:pPr>
        <w:pStyle w:val="8"/>
        <w:ind w:firstLine="402"/>
        <w:rPr>
          <w:rFonts w:hint="eastAsia"/>
          <w:b/>
          <w:sz w:val="20"/>
          <w:lang w:eastAsia="zh-CN"/>
        </w:rPr>
      </w:pPr>
    </w:p>
    <w:p w14:paraId="72AA7EFF">
      <w:pPr>
        <w:pStyle w:val="8"/>
        <w:ind w:firstLine="402"/>
        <w:rPr>
          <w:rFonts w:hint="eastAsia"/>
          <w:b/>
          <w:sz w:val="20"/>
          <w:lang w:eastAsia="zh-CN"/>
        </w:rPr>
      </w:pPr>
    </w:p>
    <w:p w14:paraId="11D6EF94">
      <w:pPr>
        <w:pStyle w:val="8"/>
        <w:ind w:firstLine="402"/>
        <w:rPr>
          <w:rFonts w:hint="eastAsia"/>
          <w:b/>
          <w:sz w:val="20"/>
          <w:lang w:eastAsia="zh-CN"/>
        </w:rPr>
      </w:pPr>
    </w:p>
    <w:p w14:paraId="7DB1CCD0">
      <w:pPr>
        <w:pStyle w:val="8"/>
        <w:ind w:firstLine="402"/>
        <w:rPr>
          <w:rFonts w:hint="eastAsia"/>
          <w:b/>
          <w:sz w:val="20"/>
          <w:lang w:eastAsia="zh-CN"/>
        </w:rPr>
      </w:pPr>
    </w:p>
    <w:p w14:paraId="290B55C7">
      <w:pPr>
        <w:pStyle w:val="8"/>
        <w:ind w:firstLine="402"/>
        <w:rPr>
          <w:rFonts w:hint="eastAsia"/>
          <w:b/>
          <w:sz w:val="20"/>
          <w:lang w:eastAsia="zh-CN"/>
        </w:rPr>
      </w:pPr>
    </w:p>
    <w:p w14:paraId="32E683D8">
      <w:pPr>
        <w:pStyle w:val="3"/>
      </w:pPr>
      <w:bookmarkStart w:id="16" w:name="_Toc228825552"/>
      <w:bookmarkStart w:id="17" w:name="_Toc228826431"/>
      <w:bookmarkStart w:id="18" w:name="_Toc228825806"/>
      <w:bookmarkStart w:id="19" w:name="_Toc228824480"/>
      <w:bookmarkStart w:id="20" w:name="_Toc228826557"/>
      <w:bookmarkStart w:id="21" w:name="_Toc10675"/>
      <w:bookmarkStart w:id="22" w:name="_Toc228825673"/>
      <w:bookmarkStart w:id="23" w:name="_Toc20327"/>
      <w:r>
        <mc:AlternateContent>
          <mc:Choice Requires="wps">
            <w:drawing>
              <wp:anchor distT="0" distB="0" distL="0" distR="0" simplePos="0" relativeHeight="251662336" behindDoc="1" locked="0" layoutInCell="1" allowOverlap="1">
                <wp:simplePos x="0" y="0"/>
                <wp:positionH relativeFrom="page">
                  <wp:posOffset>899160</wp:posOffset>
                </wp:positionH>
                <wp:positionV relativeFrom="paragraph">
                  <wp:posOffset>330835</wp:posOffset>
                </wp:positionV>
                <wp:extent cx="6120130" cy="1270"/>
                <wp:effectExtent l="0" t="4445" r="4445" b="3810"/>
                <wp:wrapTopAndBottom/>
                <wp:docPr id="10" name="任意多边形 6"/>
                <wp:cNvGraphicFramePr/>
                <a:graphic xmlns:a="http://schemas.openxmlformats.org/drawingml/2006/main">
                  <a:graphicData uri="http://schemas.microsoft.com/office/word/2010/wordprocessingShape">
                    <wps:wsp>
                      <wps:cNvSpPr/>
                      <wps:spPr>
                        <a:xfrm>
                          <a:off x="0" y="0"/>
                          <a:ext cx="6120130" cy="1270"/>
                        </a:xfrm>
                        <a:custGeom>
                          <a:avLst/>
                          <a:gdLst/>
                          <a:ahLst/>
                          <a:cxnLst/>
                          <a:rect l="0" t="0" r="0" b="0"/>
                          <a:pathLst>
                            <a:path w="9638">
                              <a:moveTo>
                                <a:pt x="0" y="0"/>
                              </a:moveTo>
                              <a:lnTo>
                                <a:pt x="9638" y="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任意多边形 6" o:spid="_x0000_s1026" o:spt="100" style="position:absolute;left:0pt;margin-left:70.8pt;margin-top:26.05pt;height:0.1pt;width:481.9pt;mso-position-horizontal-relative:page;mso-wrap-distance-bottom:0pt;mso-wrap-distance-top:0pt;z-index:-251654144;mso-width-relative:page;mso-height-relative:page;" filled="f" stroked="t" coordsize="9638,1" o:gfxdata="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6bTPa9oAAAAKAQAADwAAAAAAAAABACAAAAAiAAAAZHJzL2Rvd25y&#10;ZXYueG1sUEsBAhQAFAAAAAgAh07iQClhBK41AgAApwQAAA4AAAAAAAAAAQAgAAAAKQEAAGRycy9l&#10;Mm9Eb2MueG1sUEsFBgAAAAAGAAYAWQEAANAFAAAAAA==&#10;" path="m0,0l9638,0e">
                <v:fill on="f" focussize="0,0"/>
                <v:stroke color="#000000" joinstyle="round"/>
                <v:imagedata o:title=""/>
                <o:lock v:ext="edit" aspectratio="f"/>
                <w10:wrap type="topAndBottom"/>
              </v:shape>
            </w:pict>
          </mc:Fallback>
        </mc:AlternateContent>
      </w:r>
      <w:r>
        <w:rPr>
          <w:rFonts w:hint="eastAsia"/>
        </w:rPr>
        <w:t>XXXX</w:t>
      </w:r>
      <w:r>
        <w:rPr>
          <w:rFonts w:hint="eastAsia"/>
          <w:spacing w:val="-70"/>
        </w:rPr>
        <w:t xml:space="preserve"> </w:t>
      </w:r>
      <w:r>
        <w:rPr>
          <w:rFonts w:hint="eastAsia"/>
        </w:rPr>
        <w:t>-</w:t>
      </w:r>
      <w:r>
        <w:rPr>
          <w:rFonts w:hint="eastAsia"/>
          <w:spacing w:val="-71"/>
        </w:rPr>
        <w:t xml:space="preserve"> </w:t>
      </w:r>
      <w:r>
        <w:rPr>
          <w:rFonts w:hint="eastAsia"/>
        </w:rPr>
        <w:t>XX</w:t>
      </w:r>
      <w:r>
        <w:rPr>
          <w:rFonts w:hint="eastAsia"/>
          <w:spacing w:val="-72"/>
        </w:rPr>
        <w:t xml:space="preserve"> </w:t>
      </w:r>
      <w:r>
        <w:rPr>
          <w:rFonts w:hint="eastAsia"/>
        </w:rPr>
        <w:t>-</w:t>
      </w:r>
      <w:r>
        <w:rPr>
          <w:rFonts w:hint="eastAsia"/>
          <w:spacing w:val="-69"/>
        </w:rPr>
        <w:t xml:space="preserve"> </w:t>
      </w:r>
      <w:r>
        <w:rPr>
          <w:rFonts w:hint="eastAsia"/>
        </w:rPr>
        <w:t>XX</w:t>
      </w:r>
      <w:r>
        <w:rPr>
          <w:rFonts w:hint="eastAsia"/>
          <w:spacing w:val="-71"/>
        </w:rPr>
        <w:t xml:space="preserve"> </w:t>
      </w:r>
      <w:r>
        <w:rPr>
          <w:rFonts w:hint="eastAsia"/>
        </w:rPr>
        <w:t>发布</w:t>
      </w:r>
      <w:r>
        <w:rPr>
          <w:rFonts w:hint="eastAsia"/>
        </w:rPr>
        <w:tab/>
      </w:r>
      <w:r>
        <w:rPr>
          <w:rFonts w:hint="eastAsia"/>
          <w:lang w:val="en-US" w:eastAsia="zh-CN"/>
        </w:rPr>
        <w:t xml:space="preserve">                                                          </w:t>
      </w:r>
      <w:r>
        <w:rPr>
          <w:rFonts w:hint="eastAsia"/>
        </w:rPr>
        <w:t>XXXX</w:t>
      </w:r>
      <w:r>
        <w:rPr>
          <w:rFonts w:hint="eastAsia"/>
          <w:spacing w:val="-71"/>
        </w:rPr>
        <w:t xml:space="preserve"> </w:t>
      </w:r>
      <w:r>
        <w:rPr>
          <w:rFonts w:hint="eastAsia"/>
        </w:rPr>
        <w:t>-</w:t>
      </w:r>
      <w:r>
        <w:rPr>
          <w:rFonts w:hint="eastAsia"/>
          <w:spacing w:val="-70"/>
        </w:rPr>
        <w:t xml:space="preserve"> </w:t>
      </w:r>
      <w:r>
        <w:rPr>
          <w:rFonts w:hint="eastAsia"/>
        </w:rPr>
        <w:t>XX</w:t>
      </w:r>
      <w:r>
        <w:rPr>
          <w:rFonts w:hint="eastAsia"/>
          <w:spacing w:val="-71"/>
        </w:rPr>
        <w:t xml:space="preserve"> </w:t>
      </w:r>
      <w:r>
        <w:rPr>
          <w:rFonts w:hint="eastAsia"/>
        </w:rPr>
        <w:t>-</w:t>
      </w:r>
      <w:r>
        <w:rPr>
          <w:rFonts w:hint="eastAsia"/>
          <w:spacing w:val="-71"/>
        </w:rPr>
        <w:t xml:space="preserve"> </w:t>
      </w:r>
      <w:r>
        <w:rPr>
          <w:rFonts w:hint="eastAsia"/>
        </w:rPr>
        <w:t>XX</w:t>
      </w:r>
      <w:r>
        <w:rPr>
          <w:rFonts w:hint="eastAsia"/>
          <w:spacing w:val="-71"/>
        </w:rPr>
        <w:t xml:space="preserve"> </w:t>
      </w:r>
      <w:r>
        <w:rPr>
          <w:rFonts w:hint="eastAsia"/>
        </w:rPr>
        <w:t>实施</w:t>
      </w:r>
      <w:bookmarkEnd w:id="16"/>
      <w:bookmarkEnd w:id="17"/>
      <w:bookmarkEnd w:id="18"/>
      <w:bookmarkEnd w:id="19"/>
      <w:bookmarkEnd w:id="20"/>
      <w:bookmarkEnd w:id="21"/>
      <w:bookmarkEnd w:id="22"/>
      <w:bookmarkEnd w:id="23"/>
    </w:p>
    <w:p w14:paraId="0F4E2C21">
      <w:pPr>
        <w:pStyle w:val="8"/>
        <w:spacing w:before="4"/>
        <w:ind w:firstLine="620"/>
        <w:rPr>
          <w:rFonts w:hint="eastAsia" w:ascii="黑体"/>
          <w:sz w:val="31"/>
          <w:lang w:eastAsia="zh-CN"/>
        </w:rPr>
      </w:pPr>
    </w:p>
    <w:p w14:paraId="20ADE3B4">
      <w:pPr>
        <w:ind w:left="686" w:right="244" w:firstLine="560"/>
        <w:jc w:val="center"/>
        <w:rPr>
          <w:rFonts w:hint="eastAsia" w:ascii="黑体" w:hAnsi="黑体" w:eastAsia="黑体"/>
          <w:sz w:val="28"/>
          <w:lang w:eastAsia="zh-CN"/>
        </w:rPr>
        <w:sectPr>
          <w:headerReference r:id="rId7" w:type="first"/>
          <w:footerReference r:id="rId10" w:type="first"/>
          <w:headerReference r:id="rId5" w:type="default"/>
          <w:footerReference r:id="rId8" w:type="default"/>
          <w:headerReference r:id="rId6" w:type="even"/>
          <w:footerReference r:id="rId9" w:type="even"/>
          <w:type w:val="continuous"/>
          <w:pgSz w:w="11910" w:h="16840"/>
          <w:pgMar w:top="480" w:right="720" w:bottom="280" w:left="1260" w:header="720" w:footer="720" w:gutter="0"/>
          <w:cols w:space="720" w:num="1"/>
        </w:sectPr>
      </w:pPr>
      <w:r>
        <w:rPr>
          <w:rFonts w:ascii="Times New Roman" w:hAnsi="Times New Roman" w:eastAsia="Times New Roman"/>
          <w:sz w:val="28"/>
          <w:lang w:eastAsia="zh-CN"/>
        </w:rPr>
        <w:t xml:space="preserve">   </w:t>
      </w:r>
      <w:r>
        <w:rPr>
          <w:rFonts w:hint="eastAsia" w:ascii="黑体" w:hAnsi="黑体" w:eastAsia="黑体"/>
          <w:sz w:val="28"/>
          <w:lang w:eastAsia="zh-CN"/>
        </w:rPr>
        <w:t>发 布</w:t>
      </w:r>
    </w:p>
    <w:p w14:paraId="59F0E7E0">
      <w:pPr>
        <w:tabs>
          <w:tab w:val="left" w:pos="959"/>
        </w:tabs>
        <w:spacing w:before="54"/>
        <w:ind w:right="254" w:firstLine="640"/>
        <w:jc w:val="center"/>
        <w:rPr>
          <w:rFonts w:hint="eastAsia" w:ascii="黑体" w:eastAsia="黑体"/>
          <w:sz w:val="32"/>
          <w:lang w:eastAsia="zh-CN"/>
        </w:rPr>
      </w:pPr>
      <w:r>
        <w:rPr>
          <w:rFonts w:hint="eastAsia" w:ascii="黑体" w:eastAsia="黑体"/>
          <w:sz w:val="32"/>
          <w:lang w:eastAsia="zh-CN"/>
        </w:rPr>
        <w:t>目</w:t>
      </w:r>
      <w:r>
        <w:rPr>
          <w:rFonts w:hint="eastAsia" w:ascii="黑体" w:eastAsia="黑体"/>
          <w:sz w:val="32"/>
          <w:lang w:eastAsia="zh-CN"/>
        </w:rPr>
        <w:tab/>
      </w:r>
      <w:r>
        <w:rPr>
          <w:rFonts w:hint="eastAsia" w:ascii="黑体" w:eastAsia="黑体"/>
          <w:sz w:val="32"/>
          <w:lang w:eastAsia="zh-CN"/>
        </w:rPr>
        <w:t>次</w:t>
      </w:r>
    </w:p>
    <w:sdt>
      <w:sdtPr>
        <w:rPr>
          <w:lang w:val="zh-CN"/>
        </w:rPr>
        <w:id w:val="-1412686961"/>
        <w:docPartObj>
          <w:docPartGallery w:val="Table of Contents"/>
          <w:docPartUnique/>
        </w:docPartObj>
      </w:sdtPr>
      <w:sdtEndPr>
        <w:rPr>
          <w:rStyle w:val="25"/>
          <w:rFonts w:hAnsi="Times New Roman" w:cs="Times New Roman"/>
          <w:color w:val="auto"/>
          <w:kern w:val="2"/>
          <w:szCs w:val="21"/>
          <w:lang w:val="en-US" w:eastAsia="zh-CN" w:bidi="ar-SA"/>
        </w:rPr>
      </w:sdtEndPr>
      <w:sdtContent>
        <w:p w14:paraId="38C80158">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kern w:val="2"/>
              <w:szCs w:val="21"/>
              <w:u w:val="none"/>
              <w:lang w:eastAsia="zh-CN" w:bidi="ar-SA"/>
            </w:rPr>
          </w:pP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TOC \o "1-2" \h \z \u </w:instrText>
          </w:r>
          <w:r>
            <w:rPr>
              <w:rStyle w:val="25"/>
              <w:rFonts w:hAnsi="Times New Roman" w:cs="Times New Roman"/>
              <w:color w:val="auto"/>
              <w:kern w:val="2"/>
              <w:szCs w:val="21"/>
              <w:u w:val="none"/>
              <w:lang w:eastAsia="zh-CN" w:bidi="ar-SA"/>
            </w:rPr>
            <w:fldChar w:fldCharType="separate"/>
          </w:r>
          <w:r>
            <w:fldChar w:fldCharType="begin"/>
          </w:r>
          <w:r>
            <w:instrText xml:space="preserve"> HYPERLINK \l "_Toc228826558" </w:instrText>
          </w:r>
          <w:r>
            <w:fldChar w:fldCharType="separate"/>
          </w:r>
          <w:r>
            <w:rPr>
              <w:rStyle w:val="25"/>
              <w:rFonts w:hAnsi="Times New Roman" w:cs="Times New Roman"/>
              <w:color w:val="auto"/>
              <w:kern w:val="2"/>
              <w:szCs w:val="21"/>
              <w:u w:val="none"/>
              <w:lang w:eastAsia="zh-CN" w:bidi="ar-SA"/>
            </w:rPr>
            <w:t>前言</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_Toc228826558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II</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6BE86E4C">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szCs w:val="21"/>
              <w:u w:val="none"/>
              <w:lang w:eastAsia="zh-CN" w:bidi="ar-SA"/>
            </w:rPr>
          </w:pPr>
          <w:r>
            <w:fldChar w:fldCharType="begin"/>
          </w:r>
          <w:r>
            <w:instrText xml:space="preserve"> HYPERLINK \l "_Toc228826559" </w:instrText>
          </w:r>
          <w:r>
            <w:fldChar w:fldCharType="separate"/>
          </w:r>
          <w:r>
            <w:rPr>
              <w:rStyle w:val="25"/>
              <w:rFonts w:hAnsi="Times New Roman" w:cs="Times New Roman"/>
              <w:color w:val="auto"/>
              <w:kern w:val="2"/>
              <w:szCs w:val="21"/>
              <w:u w:val="none"/>
              <w:lang w:eastAsia="zh-CN" w:bidi="ar-SA"/>
            </w:rPr>
            <w:t>1 范围</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_Toc228826559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4EDC57F0">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szCs w:val="21"/>
              <w:u w:val="none"/>
              <w:lang w:eastAsia="zh-CN" w:bidi="ar-SA"/>
            </w:rPr>
          </w:pPr>
          <w:r>
            <w:fldChar w:fldCharType="begin"/>
          </w:r>
          <w:r>
            <w:instrText xml:space="preserve"> HYPERLINK \l "_Toc228826560" </w:instrText>
          </w:r>
          <w:r>
            <w:fldChar w:fldCharType="separate"/>
          </w:r>
          <w:r>
            <w:rPr>
              <w:rStyle w:val="25"/>
              <w:rFonts w:hAnsi="Times New Roman" w:cs="Times New Roman"/>
              <w:color w:val="auto"/>
              <w:kern w:val="2"/>
              <w:szCs w:val="21"/>
              <w:u w:val="none"/>
              <w:lang w:eastAsia="zh-CN" w:bidi="ar-SA"/>
            </w:rPr>
            <w:t>2 规范性引用文件</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_Toc228826560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7626759D">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szCs w:val="21"/>
              <w:u w:val="none"/>
              <w:lang w:eastAsia="zh-CN" w:bidi="ar-SA"/>
            </w:rPr>
          </w:pPr>
          <w:r>
            <w:fldChar w:fldCharType="begin"/>
          </w:r>
          <w:r>
            <w:instrText xml:space="preserve"> HYPERLINK \l "_Toc228826561" </w:instrText>
          </w:r>
          <w:r>
            <w:fldChar w:fldCharType="separate"/>
          </w:r>
          <w:r>
            <w:rPr>
              <w:rStyle w:val="25"/>
              <w:rFonts w:hAnsi="Times New Roman" w:cs="Times New Roman"/>
              <w:color w:val="auto"/>
              <w:kern w:val="2"/>
              <w:szCs w:val="21"/>
              <w:u w:val="none"/>
              <w:lang w:eastAsia="zh-CN" w:bidi="ar-SA"/>
            </w:rPr>
            <w:t>3 术语和定义</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_Toc228826561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6909777A">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szCs w:val="21"/>
              <w:u w:val="none"/>
              <w:lang w:eastAsia="zh-CN" w:bidi="ar-SA"/>
            </w:rPr>
          </w:pPr>
          <w:r>
            <w:fldChar w:fldCharType="begin"/>
          </w:r>
          <w:r>
            <w:instrText xml:space="preserve"> HYPERLINK \l "_Toc228826578" </w:instrText>
          </w:r>
          <w:r>
            <w:fldChar w:fldCharType="separate"/>
          </w:r>
          <w:r>
            <w:rPr>
              <w:rStyle w:val="25"/>
              <w:rFonts w:hAnsi="Times New Roman" w:cs="Times New Roman"/>
              <w:color w:val="auto"/>
              <w:kern w:val="2"/>
              <w:szCs w:val="21"/>
              <w:u w:val="none"/>
              <w:lang w:eastAsia="zh-CN" w:bidi="ar-SA"/>
            </w:rPr>
            <w:t>4 基本要求</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_Toc228826578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3</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2B3972D1">
          <w:pPr>
            <w:pStyle w:val="15"/>
            <w:tabs>
              <w:tab w:val="right" w:leader="dot" w:pos="9344"/>
              <w:tab w:val="clear" w:pos="9920"/>
            </w:tabs>
            <w:autoSpaceDE/>
            <w:autoSpaceDN/>
            <w:adjustRightInd w:val="0"/>
            <w:spacing w:line="400" w:lineRule="exact"/>
            <w:ind w:firstLine="210" w:firstLineChars="100"/>
            <w:rPr>
              <w:rStyle w:val="25"/>
              <w:rFonts w:hint="eastAsia" w:hAnsi="Times New Roman" w:cs="Times New Roman"/>
              <w:color w:val="auto"/>
              <w:kern w:val="2"/>
              <w:szCs w:val="21"/>
              <w:u w:val="none"/>
              <w:lang w:eastAsia="zh-CN" w:bidi="ar-SA"/>
            </w:rPr>
          </w:pPr>
          <w:r>
            <w:fldChar w:fldCharType="begin"/>
          </w:r>
          <w:r>
            <w:instrText xml:space="preserve"> HYPERLINK \l "_Toc228826579" </w:instrText>
          </w:r>
          <w:r>
            <w:fldChar w:fldCharType="separate"/>
          </w:r>
          <w:r>
            <w:rPr>
              <w:rStyle w:val="25"/>
              <w:rFonts w:hAnsi="Times New Roman" w:cs="Times New Roman"/>
              <w:color w:val="auto"/>
              <w:kern w:val="2"/>
              <w:szCs w:val="21"/>
              <w:u w:val="none"/>
              <w:lang w:eastAsia="zh-CN" w:bidi="ar-SA"/>
            </w:rPr>
            <w:t>4.1 适航与飞行要求</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_Toc228826579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3</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55F67A31">
          <w:pPr>
            <w:pStyle w:val="15"/>
            <w:tabs>
              <w:tab w:val="right" w:leader="dot" w:pos="9344"/>
              <w:tab w:val="clear" w:pos="9920"/>
            </w:tabs>
            <w:autoSpaceDE/>
            <w:autoSpaceDN/>
            <w:adjustRightInd w:val="0"/>
            <w:spacing w:line="400" w:lineRule="exact"/>
            <w:ind w:firstLine="210" w:firstLineChars="100"/>
            <w:rPr>
              <w:rStyle w:val="25"/>
              <w:rFonts w:hint="eastAsia" w:hAnsi="Times New Roman" w:cs="Times New Roman"/>
              <w:color w:val="auto"/>
              <w:kern w:val="2"/>
              <w:szCs w:val="21"/>
              <w:u w:val="none"/>
              <w:lang w:eastAsia="zh-CN" w:bidi="ar-SA"/>
            </w:rPr>
          </w:pPr>
          <w:r>
            <w:fldChar w:fldCharType="begin"/>
          </w:r>
          <w:r>
            <w:instrText xml:space="preserve"> HYPERLINK \l "_Toc228826580" </w:instrText>
          </w:r>
          <w:r>
            <w:fldChar w:fldCharType="separate"/>
          </w:r>
          <w:r>
            <w:rPr>
              <w:rStyle w:val="25"/>
              <w:rFonts w:hAnsi="Times New Roman" w:cs="Times New Roman"/>
              <w:color w:val="auto"/>
              <w:kern w:val="2"/>
              <w:szCs w:val="21"/>
              <w:u w:val="none"/>
              <w:lang w:eastAsia="zh-CN" w:bidi="ar-SA"/>
            </w:rPr>
            <w:t>4.2 无人机系统要求</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_Toc228826580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3</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6BBA8177">
          <w:pPr>
            <w:pStyle w:val="15"/>
            <w:tabs>
              <w:tab w:val="right" w:leader="dot" w:pos="9344"/>
              <w:tab w:val="clear" w:pos="9920"/>
            </w:tabs>
            <w:autoSpaceDE/>
            <w:autoSpaceDN/>
            <w:adjustRightInd w:val="0"/>
            <w:spacing w:line="400" w:lineRule="exact"/>
            <w:ind w:firstLine="210" w:firstLineChars="100"/>
            <w:rPr>
              <w:rStyle w:val="25"/>
              <w:rFonts w:hint="eastAsia" w:hAnsi="Times New Roman" w:cs="Times New Roman"/>
              <w:color w:val="auto"/>
              <w:kern w:val="2"/>
              <w:szCs w:val="21"/>
              <w:u w:val="none"/>
              <w:lang w:eastAsia="zh-CN" w:bidi="ar-SA"/>
            </w:rPr>
          </w:pPr>
          <w:r>
            <w:fldChar w:fldCharType="begin"/>
          </w:r>
          <w:r>
            <w:instrText xml:space="preserve"> HYPERLINK \l "_Toc228826581" </w:instrText>
          </w:r>
          <w:r>
            <w:fldChar w:fldCharType="separate"/>
          </w:r>
          <w:r>
            <w:rPr>
              <w:rStyle w:val="25"/>
              <w:rFonts w:hAnsi="Times New Roman" w:cs="Times New Roman"/>
              <w:color w:val="auto"/>
              <w:kern w:val="2"/>
              <w:szCs w:val="21"/>
              <w:u w:val="none"/>
              <w:lang w:eastAsia="zh-CN" w:bidi="ar-SA"/>
            </w:rPr>
            <w:t>4.3 作业人员要求</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_Toc228826581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5</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6D059FFF">
          <w:pPr>
            <w:pStyle w:val="15"/>
            <w:tabs>
              <w:tab w:val="right" w:leader="dot" w:pos="9344"/>
              <w:tab w:val="clear" w:pos="9920"/>
            </w:tabs>
            <w:autoSpaceDE/>
            <w:autoSpaceDN/>
            <w:adjustRightInd w:val="0"/>
            <w:spacing w:line="400" w:lineRule="exact"/>
            <w:ind w:firstLine="210" w:firstLineChars="100"/>
            <w:rPr>
              <w:rStyle w:val="25"/>
              <w:rFonts w:hint="eastAsia" w:hAnsi="Times New Roman" w:cs="Times New Roman"/>
              <w:color w:val="auto"/>
              <w:kern w:val="2"/>
              <w:szCs w:val="21"/>
              <w:u w:val="none"/>
              <w:lang w:eastAsia="zh-CN" w:bidi="ar-SA"/>
            </w:rPr>
          </w:pPr>
          <w:r>
            <w:fldChar w:fldCharType="begin"/>
          </w:r>
          <w:r>
            <w:instrText xml:space="preserve"> HYPERLINK \l "_Toc228826582" </w:instrText>
          </w:r>
          <w:r>
            <w:fldChar w:fldCharType="separate"/>
          </w:r>
          <w:r>
            <w:rPr>
              <w:rStyle w:val="25"/>
              <w:rFonts w:hAnsi="Times New Roman" w:cs="Times New Roman"/>
              <w:color w:val="auto"/>
              <w:kern w:val="2"/>
              <w:szCs w:val="21"/>
              <w:u w:val="none"/>
              <w:lang w:eastAsia="zh-CN" w:bidi="ar-SA"/>
            </w:rPr>
            <w:t>4.4 作业船舶要求</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_Toc228826582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5</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0BD7FDE3">
          <w:pPr>
            <w:pStyle w:val="15"/>
            <w:tabs>
              <w:tab w:val="right" w:leader="dot" w:pos="9344"/>
              <w:tab w:val="clear" w:pos="9920"/>
            </w:tabs>
            <w:autoSpaceDE/>
            <w:autoSpaceDN/>
            <w:adjustRightInd w:val="0"/>
            <w:spacing w:line="400" w:lineRule="exact"/>
            <w:ind w:firstLine="0" w:firstLineChars="0"/>
            <w:rPr>
              <w:rStyle w:val="25"/>
              <w:rFonts w:hint="eastAsia" w:hAnsi="Times New Roman" w:cs="Times New Roman"/>
              <w:color w:val="auto"/>
              <w:kern w:val="2"/>
              <w:szCs w:val="21"/>
              <w:u w:val="none"/>
              <w:lang w:eastAsia="zh-CN" w:bidi="ar-SA"/>
            </w:rPr>
          </w:pPr>
          <w:r>
            <w:fldChar w:fldCharType="begin"/>
          </w:r>
          <w:r>
            <w:instrText xml:space="preserve"> HYPERLINK \l "_Toc228826583" </w:instrText>
          </w:r>
          <w:r>
            <w:fldChar w:fldCharType="separate"/>
          </w:r>
          <w:r>
            <w:rPr>
              <w:rStyle w:val="25"/>
              <w:rFonts w:hAnsi="Times New Roman" w:cs="Times New Roman"/>
              <w:color w:val="auto"/>
              <w:kern w:val="2"/>
              <w:szCs w:val="21"/>
              <w:u w:val="none"/>
              <w:lang w:eastAsia="zh-CN" w:bidi="ar-SA"/>
            </w:rPr>
            <w:t>5 作业前准备</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_Toc228826583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7</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7833B7DE">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"_Toc228826584" </w:instrText>
          </w:r>
          <w:r>
            <w:fldChar w:fldCharType="separate"/>
          </w:r>
          <w:r>
            <w:rPr>
              <w:rStyle w:val="25"/>
              <w:rFonts w:hAnsi="Times New Roman" w:cs="Times New Roman"/>
              <w:color w:val="auto"/>
              <w:kern w:val="2"/>
              <w:szCs w:val="21"/>
              <w:u w:val="none"/>
              <w:lang w:eastAsia="zh-CN" w:bidi="ar-SA"/>
            </w:rPr>
            <w:t>5.1 飞行计划与空域检查</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_Toc228826584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7</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7321A7A5">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"_Toc228826585" </w:instrText>
          </w:r>
          <w:r>
            <w:fldChar w:fldCharType="separate"/>
          </w:r>
          <w:r>
            <w:rPr>
              <w:rStyle w:val="25"/>
              <w:rFonts w:hAnsi="Times New Roman" w:cs="Times New Roman"/>
              <w:color w:val="auto"/>
              <w:kern w:val="2"/>
              <w:szCs w:val="21"/>
              <w:u w:val="none"/>
              <w:lang w:eastAsia="zh-CN" w:bidi="ar-SA"/>
            </w:rPr>
            <w:t>5.2 环境检查</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_Toc228826585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7</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6D2969A3">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"_Toc228826586" </w:instrText>
          </w:r>
          <w:r>
            <w:fldChar w:fldCharType="separate"/>
          </w:r>
          <w:r>
            <w:rPr>
              <w:rStyle w:val="25"/>
              <w:rFonts w:hAnsi="Times New Roman" w:cs="Times New Roman"/>
              <w:color w:val="auto"/>
              <w:kern w:val="2"/>
              <w:szCs w:val="21"/>
              <w:u w:val="none"/>
              <w:lang w:eastAsia="zh-CN" w:bidi="ar-SA"/>
            </w:rPr>
            <w:t>5.3 设备检查</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_Toc228826586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7</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68C6866D">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"_Toc228826587" </w:instrText>
          </w:r>
          <w:r>
            <w:fldChar w:fldCharType="separate"/>
          </w:r>
          <w:r>
            <w:rPr>
              <w:rStyle w:val="25"/>
              <w:rFonts w:hAnsi="Times New Roman" w:cs="Times New Roman"/>
              <w:color w:val="auto"/>
              <w:kern w:val="2"/>
              <w:szCs w:val="21"/>
              <w:u w:val="none"/>
              <w:lang w:eastAsia="zh-CN" w:bidi="ar-SA"/>
            </w:rPr>
            <w:t>5.4 人员检查</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_Toc228826587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8</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231FF950">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"_Toc228826588" </w:instrText>
          </w:r>
          <w:r>
            <w:fldChar w:fldCharType="separate"/>
          </w:r>
          <w:r>
            <w:rPr>
              <w:rStyle w:val="25"/>
              <w:rFonts w:hAnsi="Times New Roman" w:cs="Times New Roman"/>
              <w:color w:val="auto"/>
              <w:kern w:val="2"/>
              <w:szCs w:val="21"/>
              <w:u w:val="none"/>
              <w:lang w:eastAsia="zh-CN" w:bidi="ar-SA"/>
            </w:rPr>
            <w:t>5.5 船舶检查</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_Toc228826588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9</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1CAC3341">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szCs w:val="21"/>
              <w:u w:val="none"/>
              <w:lang w:eastAsia="zh-CN" w:bidi="ar-SA"/>
            </w:rPr>
          </w:pPr>
          <w:r>
            <w:fldChar w:fldCharType="begin"/>
          </w:r>
          <w:r>
            <w:instrText xml:space="preserve"> HYPERLINK \l "_Toc228826589" </w:instrText>
          </w:r>
          <w:r>
            <w:fldChar w:fldCharType="separate"/>
          </w:r>
          <w:r>
            <w:rPr>
              <w:rStyle w:val="25"/>
              <w:rFonts w:hAnsi="Times New Roman" w:cs="Times New Roman"/>
              <w:color w:val="auto"/>
              <w:kern w:val="2"/>
              <w:szCs w:val="21"/>
              <w:u w:val="none"/>
              <w:lang w:eastAsia="zh-CN" w:bidi="ar-SA"/>
            </w:rPr>
            <w:t>6 作业过程控制</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_Toc228826589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9</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1536F924">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"_Toc228826590" </w:instrText>
          </w:r>
          <w:r>
            <w:fldChar w:fldCharType="separate"/>
          </w:r>
          <w:r>
            <w:rPr>
              <w:rStyle w:val="25"/>
              <w:rFonts w:hAnsi="Times New Roman" w:cs="Times New Roman"/>
              <w:color w:val="auto"/>
              <w:kern w:val="2"/>
              <w:szCs w:val="21"/>
              <w:u w:val="none"/>
              <w:lang w:eastAsia="zh-CN" w:bidi="ar-SA"/>
            </w:rPr>
            <w:t>6.1 起飞控制</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_Toc228826590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9</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79009A37">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"_Toc228826591" </w:instrText>
          </w:r>
          <w:r>
            <w:fldChar w:fldCharType="separate"/>
          </w:r>
          <w:r>
            <w:rPr>
              <w:rStyle w:val="25"/>
              <w:rFonts w:hAnsi="Times New Roman" w:cs="Times New Roman"/>
              <w:color w:val="auto"/>
              <w:kern w:val="2"/>
              <w:szCs w:val="21"/>
              <w:u w:val="none"/>
              <w:lang w:eastAsia="zh-CN" w:bidi="ar-SA"/>
            </w:rPr>
            <w:t>6.2 飞行监控</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_Toc228826591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10</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27291C67">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"_Toc228826592" </w:instrText>
          </w:r>
          <w:r>
            <w:fldChar w:fldCharType="separate"/>
          </w:r>
          <w:r>
            <w:rPr>
              <w:rStyle w:val="25"/>
              <w:rFonts w:hAnsi="Times New Roman" w:cs="Times New Roman"/>
              <w:color w:val="auto"/>
              <w:kern w:val="2"/>
              <w:szCs w:val="21"/>
              <w:u w:val="none"/>
              <w:lang w:eastAsia="zh-CN" w:bidi="ar-SA"/>
            </w:rPr>
            <w:t>6.3 降落控制</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_Toc228826592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10</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6F336EF6">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szCs w:val="21"/>
              <w:u w:val="none"/>
              <w:lang w:eastAsia="zh-CN" w:bidi="ar-SA"/>
            </w:rPr>
          </w:pPr>
          <w:r>
            <w:fldChar w:fldCharType="begin"/>
          </w:r>
          <w:r>
            <w:instrText xml:space="preserve"> HYPERLINK \l "_Toc228826593" </w:instrText>
          </w:r>
          <w:r>
            <w:fldChar w:fldCharType="separate"/>
          </w:r>
          <w:r>
            <w:rPr>
              <w:rStyle w:val="25"/>
              <w:rFonts w:hAnsi="Times New Roman" w:cs="Times New Roman"/>
              <w:color w:val="auto"/>
              <w:kern w:val="2"/>
              <w:szCs w:val="21"/>
              <w:u w:val="none"/>
              <w:lang w:eastAsia="zh-CN" w:bidi="ar-SA"/>
            </w:rPr>
            <w:t>7 作业后检查与维护</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_Toc228826593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10</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2334C184">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"_Toc228826594" </w:instrText>
          </w:r>
          <w:r>
            <w:fldChar w:fldCharType="separate"/>
          </w:r>
          <w:r>
            <w:rPr>
              <w:rStyle w:val="25"/>
              <w:rFonts w:hAnsi="Times New Roman" w:cs="Times New Roman"/>
              <w:color w:val="auto"/>
              <w:kern w:val="2"/>
              <w:szCs w:val="21"/>
              <w:u w:val="none"/>
              <w:lang w:eastAsia="zh-CN" w:bidi="ar-SA"/>
            </w:rPr>
            <w:t>7.1 设备清洁与保养</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_Toc228826594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10</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39F09907">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"_Toc228826595" </w:instrText>
          </w:r>
          <w:r>
            <w:fldChar w:fldCharType="separate"/>
          </w:r>
          <w:r>
            <w:rPr>
              <w:rStyle w:val="25"/>
              <w:rFonts w:hAnsi="Times New Roman" w:cs="Times New Roman"/>
              <w:color w:val="auto"/>
              <w:kern w:val="2"/>
              <w:szCs w:val="21"/>
              <w:u w:val="none"/>
              <w:lang w:eastAsia="zh-CN" w:bidi="ar-SA"/>
            </w:rPr>
            <w:t>7.2 数据处理与备份</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_Toc228826595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11</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5E2B8499">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"_Toc228826596" </w:instrText>
          </w:r>
          <w:r>
            <w:fldChar w:fldCharType="separate"/>
          </w:r>
          <w:r>
            <w:rPr>
              <w:rStyle w:val="25"/>
              <w:rFonts w:hAnsi="Times New Roman" w:cs="Times New Roman"/>
              <w:color w:val="auto"/>
              <w:kern w:val="2"/>
              <w:szCs w:val="21"/>
              <w:u w:val="none"/>
              <w:lang w:eastAsia="zh-CN" w:bidi="ar-SA"/>
            </w:rPr>
            <w:t>7.3 设备存放与维护</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_Toc228826596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11</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468AC05E">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szCs w:val="21"/>
              <w:u w:val="none"/>
              <w:lang w:eastAsia="zh-CN" w:bidi="ar-SA"/>
            </w:rPr>
          </w:pPr>
          <w:r>
            <w:fldChar w:fldCharType="begin"/>
          </w:r>
          <w:r>
            <w:instrText xml:space="preserve"> HYPERLINK \l "_Toc228826597" </w:instrText>
          </w:r>
          <w:r>
            <w:fldChar w:fldCharType="separate"/>
          </w:r>
          <w:r>
            <w:rPr>
              <w:rStyle w:val="25"/>
              <w:rFonts w:hAnsi="Times New Roman" w:cs="Times New Roman"/>
              <w:color w:val="auto"/>
              <w:kern w:val="2"/>
              <w:szCs w:val="21"/>
              <w:u w:val="none"/>
              <w:lang w:eastAsia="zh-CN" w:bidi="ar-SA"/>
            </w:rPr>
            <w:t>8 应急处置</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_Toc228826597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11</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5402A75F">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"_Toc228826598" </w:instrText>
          </w:r>
          <w:r>
            <w:fldChar w:fldCharType="separate"/>
          </w:r>
          <w:r>
            <w:rPr>
              <w:rStyle w:val="25"/>
              <w:rFonts w:hAnsi="Times New Roman" w:cs="Times New Roman"/>
              <w:color w:val="auto"/>
              <w:kern w:val="2"/>
              <w:szCs w:val="21"/>
              <w:u w:val="none"/>
              <w:lang w:eastAsia="zh-CN" w:bidi="ar-SA"/>
            </w:rPr>
            <w:t>8.1 应急预案编制</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_Toc228826598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11</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04DBBD75">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"_Toc228826599" </w:instrText>
          </w:r>
          <w:r>
            <w:fldChar w:fldCharType="separate"/>
          </w:r>
          <w:r>
            <w:rPr>
              <w:rStyle w:val="25"/>
              <w:rFonts w:hAnsi="Times New Roman" w:cs="Times New Roman"/>
              <w:color w:val="auto"/>
              <w:kern w:val="2"/>
              <w:szCs w:val="21"/>
              <w:u w:val="none"/>
              <w:lang w:eastAsia="zh-CN" w:bidi="ar-SA"/>
            </w:rPr>
            <w:t>8.2 常见紧急情况处置</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_Toc228826599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12</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7CFFF217">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"_Toc228826600" </w:instrText>
          </w:r>
          <w:r>
            <w:fldChar w:fldCharType="separate"/>
          </w:r>
          <w:r>
            <w:rPr>
              <w:rStyle w:val="25"/>
              <w:rFonts w:hAnsi="Times New Roman" w:cs="Times New Roman"/>
              <w:color w:val="auto"/>
              <w:kern w:val="2"/>
              <w:szCs w:val="21"/>
              <w:u w:val="none"/>
              <w:lang w:eastAsia="zh-CN" w:bidi="ar-SA"/>
            </w:rPr>
            <w:t>8.3 设备故障处置</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_Toc228826600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12</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01F74C3A">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"_Toc228826601" </w:instrText>
          </w:r>
          <w:r>
            <w:fldChar w:fldCharType="separate"/>
          </w:r>
          <w:r>
            <w:rPr>
              <w:rStyle w:val="25"/>
              <w:rFonts w:hAnsi="Times New Roman" w:cs="Times New Roman"/>
              <w:color w:val="auto"/>
              <w:kern w:val="2"/>
              <w:szCs w:val="21"/>
              <w:u w:val="none"/>
              <w:lang w:eastAsia="zh-CN" w:bidi="ar-SA"/>
            </w:rPr>
            <w:t>8.4 人员安全紧急处置</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_Toc228826601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13</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073407E5">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szCs w:val="21"/>
              <w:u w:val="none"/>
              <w:lang w:eastAsia="zh-CN" w:bidi="ar-SA"/>
            </w:rPr>
          </w:pPr>
          <w:r>
            <w:fldChar w:fldCharType="begin"/>
          </w:r>
          <w:r>
            <w:instrText xml:space="preserve"> HYPERLINK \l "_Toc228826602" </w:instrText>
          </w:r>
          <w:r>
            <w:fldChar w:fldCharType="separate"/>
          </w:r>
          <w:r>
            <w:rPr>
              <w:rStyle w:val="25"/>
              <w:rFonts w:hAnsi="Times New Roman" w:cs="Times New Roman"/>
              <w:color w:val="auto"/>
              <w:kern w:val="2"/>
              <w:szCs w:val="21"/>
              <w:u w:val="none"/>
              <w:lang w:eastAsia="zh-CN" w:bidi="ar-SA"/>
            </w:rPr>
            <w:t>9 作业记录与复盘</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_Toc228826602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13</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721F7FDB">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"_Toc228826603" </w:instrText>
          </w:r>
          <w:r>
            <w:fldChar w:fldCharType="separate"/>
          </w:r>
          <w:r>
            <w:rPr>
              <w:rStyle w:val="25"/>
              <w:rFonts w:hAnsi="Times New Roman" w:cs="Times New Roman"/>
              <w:color w:val="auto"/>
              <w:kern w:val="2"/>
              <w:szCs w:val="21"/>
              <w:u w:val="none"/>
              <w:lang w:eastAsia="zh-CN" w:bidi="ar-SA"/>
            </w:rPr>
            <w:t>9.1 作业记录</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_Toc228826603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13</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3D78F713">
          <w:pPr>
            <w:pStyle w:val="15"/>
            <w:tabs>
              <w:tab w:val="right" w:leader="dot" w:pos="9344"/>
              <w:tab w:val="clear" w:pos="9920"/>
            </w:tabs>
            <w:autoSpaceDE/>
            <w:autoSpaceDN/>
            <w:adjustRightInd w:val="0"/>
            <w:spacing w:line="400" w:lineRule="exact"/>
            <w:ind w:firstLine="210" w:firstLineChars="100"/>
            <w:rPr>
              <w:rStyle w:val="25"/>
              <w:rFonts w:hAnsi="Times New Roman" w:cs="Times New Roman"/>
              <w:color w:val="auto"/>
              <w:szCs w:val="21"/>
              <w:u w:val="none"/>
              <w:lang w:eastAsia="zh-CN" w:bidi="ar-SA"/>
            </w:rPr>
          </w:pPr>
          <w:r>
            <w:fldChar w:fldCharType="begin"/>
          </w:r>
          <w:r>
            <w:instrText xml:space="preserve"> HYPERLINK \l "_Toc228826604" </w:instrText>
          </w:r>
          <w:r>
            <w:fldChar w:fldCharType="separate"/>
          </w:r>
          <w:r>
            <w:rPr>
              <w:rStyle w:val="25"/>
              <w:rFonts w:hAnsi="Times New Roman" w:cs="Times New Roman"/>
              <w:color w:val="auto"/>
              <w:kern w:val="2"/>
              <w:szCs w:val="21"/>
              <w:u w:val="none"/>
              <w:lang w:eastAsia="zh-CN" w:bidi="ar-SA"/>
            </w:rPr>
            <w:t>9.2 作业复盘</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_Toc228826604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13</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64AB6EA3">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szCs w:val="21"/>
              <w:u w:val="none"/>
              <w:lang w:eastAsia="zh-CN" w:bidi="ar-SA"/>
            </w:rPr>
          </w:pPr>
          <w:r>
            <w:fldChar w:fldCharType="begin"/>
          </w:r>
          <w:r>
            <w:instrText xml:space="preserve"> HYPERLINK \l "_Toc228826605" </w:instrText>
          </w:r>
          <w:r>
            <w:fldChar w:fldCharType="separate"/>
          </w:r>
          <w:r>
            <w:rPr>
              <w:rStyle w:val="25"/>
              <w:rFonts w:hAnsi="Times New Roman" w:cs="Times New Roman"/>
              <w:color w:val="auto"/>
              <w:kern w:val="2"/>
              <w:szCs w:val="21"/>
              <w:u w:val="none"/>
              <w:lang w:eastAsia="zh-CN" w:bidi="ar-SA"/>
            </w:rPr>
            <w:t>参考文献</w:t>
          </w:r>
          <w:r>
            <w:rPr>
              <w:rStyle w:val="25"/>
              <w:rFonts w:hAnsi="Times New Roman" w:cs="Times New Roman"/>
              <w:color w:val="auto"/>
              <w:kern w:val="2"/>
              <w:szCs w:val="21"/>
              <w:u w:val="none"/>
              <w:lang w:eastAsia="zh-CN" w:bidi="ar-SA"/>
            </w:rPr>
            <w:tab/>
          </w:r>
          <w:r>
            <w:rPr>
              <w:rStyle w:val="25"/>
              <w:rFonts w:hAnsi="Times New Roman" w:cs="Times New Roman"/>
              <w:color w:val="auto"/>
              <w:kern w:val="2"/>
              <w:szCs w:val="21"/>
              <w:u w:val="none"/>
              <w:lang w:eastAsia="zh-CN" w:bidi="ar-SA"/>
            </w:rPr>
            <w:fldChar w:fldCharType="begin"/>
          </w:r>
          <w:r>
            <w:rPr>
              <w:rStyle w:val="25"/>
              <w:rFonts w:hAnsi="Times New Roman" w:cs="Times New Roman"/>
              <w:color w:val="auto"/>
              <w:kern w:val="2"/>
              <w:szCs w:val="21"/>
              <w:u w:val="none"/>
              <w:lang w:eastAsia="zh-CN" w:bidi="ar-SA"/>
            </w:rPr>
            <w:instrText xml:space="preserve"> PAGEREF _Toc228826605 \h </w:instrText>
          </w:r>
          <w:r>
            <w:rPr>
              <w:rStyle w:val="25"/>
              <w:rFonts w:hAnsi="Times New Roman" w:cs="Times New Roman"/>
              <w:color w:val="auto"/>
              <w:kern w:val="2"/>
              <w:szCs w:val="21"/>
              <w:u w:val="none"/>
              <w:lang w:eastAsia="zh-CN" w:bidi="ar-SA"/>
            </w:rPr>
            <w:fldChar w:fldCharType="separate"/>
          </w:r>
          <w:r>
            <w:rPr>
              <w:rStyle w:val="25"/>
              <w:rFonts w:hAnsi="Times New Roman" w:cs="Times New Roman"/>
              <w:color w:val="auto"/>
              <w:kern w:val="2"/>
              <w:szCs w:val="21"/>
              <w:u w:val="none"/>
              <w:lang w:eastAsia="zh-CN" w:bidi="ar-SA"/>
            </w:rPr>
            <w:t>14</w:t>
          </w:r>
          <w:r>
            <w:rPr>
              <w:rStyle w:val="25"/>
              <w:rFonts w:hAnsi="Times New Roman" w:cs="Times New Roman"/>
              <w:color w:val="auto"/>
              <w:kern w:val="2"/>
              <w:szCs w:val="21"/>
              <w:u w:val="none"/>
              <w:lang w:eastAsia="zh-CN" w:bidi="ar-SA"/>
            </w:rPr>
            <w:fldChar w:fldCharType="end"/>
          </w:r>
          <w:r>
            <w:rPr>
              <w:rStyle w:val="25"/>
              <w:rFonts w:hAnsi="Times New Roman" w:cs="Times New Roman"/>
              <w:color w:val="auto"/>
              <w:kern w:val="2"/>
              <w:szCs w:val="21"/>
              <w:u w:val="none"/>
              <w:lang w:eastAsia="zh-CN" w:bidi="ar-SA"/>
            </w:rPr>
            <w:fldChar w:fldCharType="end"/>
          </w:r>
        </w:p>
        <w:p w14:paraId="0189D49D">
          <w:pPr>
            <w:pStyle w:val="15"/>
            <w:tabs>
              <w:tab w:val="right" w:leader="dot" w:pos="9344"/>
              <w:tab w:val="clear" w:pos="9920"/>
            </w:tabs>
            <w:autoSpaceDE/>
            <w:autoSpaceDN/>
            <w:adjustRightInd w:val="0"/>
            <w:spacing w:line="400" w:lineRule="exact"/>
            <w:ind w:firstLine="0" w:firstLineChars="0"/>
            <w:rPr>
              <w:rStyle w:val="25"/>
              <w:rFonts w:hAnsi="Times New Roman" w:cs="Times New Roman"/>
              <w:color w:val="auto"/>
              <w:kern w:val="2"/>
              <w:szCs w:val="21"/>
              <w:u w:val="none"/>
              <w:lang w:eastAsia="zh-CN" w:bidi="ar-SA"/>
            </w:rPr>
          </w:pPr>
          <w:r>
            <w:rPr>
              <w:rStyle w:val="25"/>
              <w:rFonts w:hAnsi="Times New Roman" w:cs="Times New Roman"/>
              <w:color w:val="auto"/>
              <w:kern w:val="2"/>
              <w:szCs w:val="21"/>
              <w:u w:val="none"/>
              <w:lang w:eastAsia="zh-CN" w:bidi="ar-SA"/>
            </w:rPr>
            <w:fldChar w:fldCharType="end"/>
          </w:r>
        </w:p>
      </w:sdtContent>
    </w:sdt>
    <w:p w14:paraId="3802B6EF">
      <w:pPr>
        <w:pStyle w:val="53"/>
        <w:numPr>
          <w:ilvl w:val="0"/>
          <w:numId w:val="0"/>
        </w:numPr>
        <w:spacing w:before="900" w:after="360"/>
        <w:ind w:left="425" w:hanging="425"/>
        <w:rPr>
          <w:rFonts w:hint="eastAsia"/>
          <w:spacing w:val="320"/>
        </w:rPr>
      </w:pPr>
      <w:bookmarkStart w:id="24" w:name="_bookmark0"/>
      <w:bookmarkEnd w:id="24"/>
      <w:bookmarkStart w:id="25" w:name="前言"/>
      <w:bookmarkEnd w:id="25"/>
      <w:bookmarkStart w:id="26" w:name="_Toc228825807"/>
      <w:bookmarkStart w:id="27" w:name="_Toc228826558"/>
      <w:bookmarkStart w:id="28" w:name="_Toc228826432"/>
      <w:bookmarkStart w:id="29" w:name="_Toc228825674"/>
      <w:r>
        <w:rPr>
          <w:rFonts w:hint="eastAsia"/>
          <w:spacing w:val="320"/>
        </w:rPr>
        <w:t>前</w:t>
      </w:r>
      <w:r>
        <w:rPr>
          <w:rFonts w:hint="eastAsia"/>
          <w:spacing w:val="320"/>
        </w:rPr>
        <w:tab/>
      </w:r>
      <w:r>
        <w:rPr>
          <w:rFonts w:hint="eastAsia"/>
          <w:spacing w:val="320"/>
        </w:rPr>
        <w:t>言</w:t>
      </w:r>
      <w:bookmarkEnd w:id="26"/>
      <w:bookmarkEnd w:id="27"/>
      <w:bookmarkEnd w:id="28"/>
      <w:bookmarkEnd w:id="29"/>
    </w:p>
    <w:p w14:paraId="5B30B5EE">
      <w:pPr>
        <w:pStyle w:val="32"/>
        <w:ind w:firstLine="420"/>
        <w:rPr>
          <w:rFonts w:hint="eastAsia"/>
        </w:rPr>
      </w:pPr>
      <w:r>
        <w:t>本文件按照GB/T 1.1</w:t>
      </w:r>
      <w:r>
        <w:rPr>
          <w:rFonts w:hint="eastAsia"/>
        </w:rPr>
        <w:t>-</w:t>
      </w:r>
      <w:r>
        <w:t>2020《标准化工作导则 第1部分：标准化文件的结构和起草规则》的规定起草。</w:t>
      </w:r>
    </w:p>
    <w:p w14:paraId="76C053C2">
      <w:pPr>
        <w:pStyle w:val="32"/>
        <w:ind w:firstLine="420"/>
        <w:rPr>
          <w:rFonts w:hint="eastAsia"/>
        </w:rPr>
      </w:pPr>
      <w:r>
        <w:t>请注意本文件的某些内容可能涉及专利。本文件的发布机构不承担识别专利的责任。</w:t>
      </w:r>
    </w:p>
    <w:p w14:paraId="4B5A33AF">
      <w:pPr>
        <w:pStyle w:val="32"/>
        <w:ind w:firstLine="420"/>
        <w:rPr>
          <w:rFonts w:hint="eastAsia"/>
        </w:rPr>
      </w:pPr>
      <w:r>
        <w:t>本文件由自然资源部北海海洋技术中心（自然资源部北海船舶飞机管理中心）提出。</w:t>
      </w:r>
    </w:p>
    <w:p w14:paraId="5E7DA44D">
      <w:pPr>
        <w:pStyle w:val="32"/>
        <w:ind w:firstLine="420"/>
        <w:rPr>
          <w:rFonts w:hint="eastAsia"/>
        </w:rPr>
      </w:pPr>
      <w:r>
        <w:t>本文件由中国太平洋学会归口。</w:t>
      </w:r>
    </w:p>
    <w:p w14:paraId="1515151D">
      <w:pPr>
        <w:pStyle w:val="32"/>
        <w:ind w:firstLine="420"/>
        <w:rPr>
          <w:rFonts w:hint="eastAsia"/>
        </w:rPr>
      </w:pPr>
      <w:r>
        <w:t>本文件起草单位：自然资源部北海海洋技术中心（自然资源部北海船舶飞机管理中心）、国家海洋标准计量中心</w:t>
      </w:r>
    </w:p>
    <w:p w14:paraId="64D7A5AA">
      <w:pPr>
        <w:pStyle w:val="32"/>
        <w:ind w:firstLine="420"/>
        <w:rPr>
          <w:rFonts w:hint="eastAsia"/>
        </w:rPr>
      </w:pPr>
      <w:r>
        <w:t>本文件主要起草人：张震、唐伟、李忠强、张莹、徐栋、刘大川、马治忠、姜建波、卢效东</w:t>
      </w:r>
    </w:p>
    <w:p w14:paraId="3FFB6A70">
      <w:pPr>
        <w:ind w:firstLine="420"/>
        <w:rPr>
          <w:rFonts w:hint="eastAsia"/>
          <w:lang w:eastAsia="zh-CN"/>
        </w:rPr>
      </w:pPr>
    </w:p>
    <w:p w14:paraId="7B1A6974">
      <w:pPr>
        <w:pStyle w:val="8"/>
        <w:ind w:left="158" w:right="412" w:firstLine="389"/>
        <w:rPr>
          <w:rFonts w:hint="eastAsia"/>
          <w:spacing w:val="-4"/>
          <w:w w:val="95"/>
          <w:lang w:eastAsia="zh-CN"/>
        </w:rPr>
      </w:pPr>
    </w:p>
    <w:p w14:paraId="0D415B65">
      <w:pPr>
        <w:ind w:firstLine="420"/>
        <w:rPr>
          <w:rFonts w:hint="eastAsia"/>
          <w:lang w:eastAsia="zh-CN"/>
        </w:rPr>
      </w:pPr>
    </w:p>
    <w:p w14:paraId="252580C4">
      <w:pPr>
        <w:ind w:firstLine="420"/>
        <w:rPr>
          <w:rFonts w:hint="eastAsia"/>
          <w:lang w:eastAsia="zh-CN"/>
        </w:rPr>
      </w:pPr>
    </w:p>
    <w:p w14:paraId="16769C10">
      <w:pPr>
        <w:ind w:firstLine="420"/>
        <w:rPr>
          <w:rFonts w:hint="eastAsia"/>
          <w:lang w:eastAsia="zh-CN"/>
        </w:rPr>
      </w:pPr>
    </w:p>
    <w:p w14:paraId="444628B0">
      <w:pPr>
        <w:ind w:firstLine="420"/>
        <w:rPr>
          <w:rFonts w:hint="eastAsia"/>
          <w:lang w:eastAsia="zh-CN"/>
        </w:rPr>
      </w:pPr>
    </w:p>
    <w:p w14:paraId="06F13E53">
      <w:pPr>
        <w:ind w:firstLine="420"/>
        <w:rPr>
          <w:rFonts w:hint="eastAsia"/>
          <w:lang w:eastAsia="zh-CN"/>
        </w:rPr>
      </w:pPr>
    </w:p>
    <w:p w14:paraId="00CD5E77">
      <w:pPr>
        <w:ind w:firstLine="420"/>
        <w:rPr>
          <w:rFonts w:hint="eastAsia"/>
          <w:lang w:eastAsia="zh-CN"/>
        </w:rPr>
      </w:pPr>
    </w:p>
    <w:p w14:paraId="5C0C0A58">
      <w:pPr>
        <w:ind w:firstLine="420"/>
        <w:rPr>
          <w:rFonts w:hint="eastAsia"/>
          <w:lang w:eastAsia="zh-CN"/>
        </w:rPr>
      </w:pPr>
    </w:p>
    <w:p w14:paraId="71794299">
      <w:pPr>
        <w:ind w:firstLine="420"/>
        <w:rPr>
          <w:rFonts w:hint="eastAsia"/>
          <w:lang w:eastAsia="zh-CN"/>
        </w:rPr>
      </w:pPr>
    </w:p>
    <w:p w14:paraId="283AFD02">
      <w:pPr>
        <w:ind w:firstLine="420"/>
        <w:rPr>
          <w:rFonts w:hint="eastAsia"/>
          <w:lang w:eastAsia="zh-CN"/>
        </w:rPr>
      </w:pPr>
    </w:p>
    <w:p w14:paraId="44BBCC7B">
      <w:pPr>
        <w:ind w:firstLine="420"/>
        <w:rPr>
          <w:rFonts w:hint="eastAsia"/>
          <w:lang w:eastAsia="zh-CN"/>
        </w:rPr>
      </w:pPr>
    </w:p>
    <w:p w14:paraId="6E005A89">
      <w:pPr>
        <w:ind w:firstLine="420"/>
        <w:rPr>
          <w:rFonts w:hint="eastAsia"/>
          <w:lang w:eastAsia="zh-CN"/>
        </w:rPr>
      </w:pPr>
    </w:p>
    <w:p w14:paraId="349EF42C">
      <w:pPr>
        <w:ind w:firstLine="420"/>
        <w:rPr>
          <w:rFonts w:hint="eastAsia"/>
          <w:lang w:eastAsia="zh-CN"/>
        </w:rPr>
      </w:pPr>
    </w:p>
    <w:p w14:paraId="0C4A21F0">
      <w:pPr>
        <w:ind w:firstLine="420"/>
        <w:rPr>
          <w:rFonts w:hint="eastAsia"/>
          <w:lang w:eastAsia="zh-CN"/>
        </w:rPr>
      </w:pPr>
    </w:p>
    <w:p w14:paraId="35CEC8DA">
      <w:pPr>
        <w:ind w:firstLine="420"/>
        <w:rPr>
          <w:rFonts w:hint="eastAsia"/>
          <w:lang w:eastAsia="zh-CN"/>
        </w:rPr>
      </w:pPr>
    </w:p>
    <w:p w14:paraId="5BAC3736">
      <w:pPr>
        <w:ind w:firstLine="420"/>
        <w:rPr>
          <w:rFonts w:hint="eastAsia"/>
          <w:lang w:eastAsia="zh-CN"/>
        </w:rPr>
      </w:pPr>
    </w:p>
    <w:p w14:paraId="35497691">
      <w:pPr>
        <w:ind w:firstLine="420"/>
        <w:rPr>
          <w:rFonts w:hint="eastAsia"/>
          <w:lang w:eastAsia="zh-CN"/>
        </w:rPr>
      </w:pPr>
    </w:p>
    <w:p w14:paraId="31803126">
      <w:pPr>
        <w:ind w:firstLine="420"/>
        <w:rPr>
          <w:rFonts w:hint="eastAsia"/>
          <w:lang w:eastAsia="zh-CN"/>
        </w:rPr>
      </w:pPr>
    </w:p>
    <w:p w14:paraId="413250CE">
      <w:pPr>
        <w:ind w:firstLine="420"/>
        <w:rPr>
          <w:rFonts w:hint="eastAsia"/>
          <w:lang w:eastAsia="zh-CN"/>
        </w:rPr>
      </w:pPr>
    </w:p>
    <w:p w14:paraId="7C98EA23">
      <w:pPr>
        <w:ind w:firstLine="420"/>
        <w:rPr>
          <w:rFonts w:hint="eastAsia"/>
          <w:lang w:eastAsia="zh-CN"/>
        </w:rPr>
      </w:pPr>
    </w:p>
    <w:p w14:paraId="74D08960">
      <w:pPr>
        <w:ind w:firstLine="420"/>
        <w:rPr>
          <w:rFonts w:hint="eastAsia"/>
          <w:lang w:eastAsia="zh-CN"/>
        </w:rPr>
      </w:pPr>
    </w:p>
    <w:p w14:paraId="650BE1AC">
      <w:pPr>
        <w:ind w:firstLine="420"/>
        <w:rPr>
          <w:rFonts w:hint="eastAsia"/>
          <w:lang w:eastAsia="zh-CN"/>
        </w:rPr>
      </w:pPr>
    </w:p>
    <w:p w14:paraId="3314D3FE">
      <w:pPr>
        <w:ind w:firstLine="420"/>
        <w:rPr>
          <w:rFonts w:hint="eastAsia"/>
          <w:lang w:eastAsia="zh-CN"/>
        </w:rPr>
      </w:pPr>
    </w:p>
    <w:p w14:paraId="7036BC31">
      <w:pPr>
        <w:ind w:firstLine="420"/>
        <w:rPr>
          <w:rFonts w:hint="eastAsia"/>
          <w:lang w:eastAsia="zh-CN"/>
        </w:rPr>
      </w:pPr>
    </w:p>
    <w:p w14:paraId="3C9D1F40">
      <w:pPr>
        <w:ind w:firstLine="420"/>
        <w:rPr>
          <w:rFonts w:hint="eastAsia"/>
          <w:lang w:eastAsia="zh-CN"/>
        </w:rPr>
      </w:pPr>
    </w:p>
    <w:p w14:paraId="7FA5235E">
      <w:pPr>
        <w:ind w:firstLine="420"/>
        <w:rPr>
          <w:rFonts w:hint="eastAsia"/>
          <w:lang w:eastAsia="zh-CN"/>
        </w:rPr>
      </w:pPr>
    </w:p>
    <w:p w14:paraId="3A6CBF2A">
      <w:pPr>
        <w:ind w:firstLine="420"/>
        <w:rPr>
          <w:rFonts w:hint="eastAsia"/>
          <w:lang w:eastAsia="zh-CN"/>
        </w:rPr>
      </w:pPr>
    </w:p>
    <w:p w14:paraId="739CE518">
      <w:pPr>
        <w:ind w:firstLine="420"/>
        <w:rPr>
          <w:rFonts w:hint="eastAsia"/>
          <w:lang w:eastAsia="zh-CN"/>
        </w:rPr>
      </w:pPr>
    </w:p>
    <w:p w14:paraId="5B19CAB9">
      <w:pPr>
        <w:ind w:firstLine="420"/>
        <w:rPr>
          <w:rFonts w:hint="eastAsia"/>
          <w:lang w:eastAsia="zh-CN"/>
        </w:rPr>
      </w:pPr>
    </w:p>
    <w:p w14:paraId="49B71439">
      <w:pPr>
        <w:ind w:firstLine="420"/>
        <w:rPr>
          <w:rFonts w:hint="eastAsia"/>
          <w:lang w:eastAsia="zh-CN"/>
        </w:rPr>
      </w:pPr>
    </w:p>
    <w:p w14:paraId="17BD17F4">
      <w:pPr>
        <w:ind w:firstLine="420"/>
        <w:rPr>
          <w:rFonts w:hint="eastAsia"/>
          <w:lang w:eastAsia="zh-CN"/>
        </w:rPr>
      </w:pPr>
    </w:p>
    <w:p w14:paraId="33EE2326">
      <w:pPr>
        <w:ind w:firstLine="420"/>
        <w:rPr>
          <w:rFonts w:hint="eastAsia"/>
          <w:lang w:eastAsia="zh-CN"/>
        </w:rPr>
      </w:pPr>
    </w:p>
    <w:p w14:paraId="609190F0">
      <w:pPr>
        <w:ind w:firstLine="420"/>
        <w:rPr>
          <w:rFonts w:hint="eastAsia"/>
          <w:lang w:eastAsia="zh-CN"/>
        </w:rPr>
      </w:pPr>
    </w:p>
    <w:p w14:paraId="74447CE5">
      <w:pPr>
        <w:ind w:firstLine="420"/>
        <w:rPr>
          <w:rFonts w:hint="eastAsia"/>
          <w:lang w:eastAsia="zh-CN"/>
        </w:rPr>
      </w:pPr>
    </w:p>
    <w:p w14:paraId="5B1A4619">
      <w:pPr>
        <w:ind w:firstLine="420"/>
        <w:jc w:val="center"/>
        <w:rPr>
          <w:rFonts w:hint="eastAsia"/>
          <w:lang w:eastAsia="zh-CN"/>
        </w:rPr>
      </w:pPr>
    </w:p>
    <w:p w14:paraId="12D65DB5">
      <w:pPr>
        <w:ind w:firstLine="420"/>
        <w:rPr>
          <w:rFonts w:hint="eastAsia"/>
          <w:lang w:eastAsia="zh-CN"/>
        </w:rPr>
      </w:pPr>
    </w:p>
    <w:p w14:paraId="53A3406A">
      <w:pPr>
        <w:ind w:firstLine="420"/>
        <w:rPr>
          <w:rFonts w:hint="eastAsia"/>
          <w:lang w:eastAsia="zh-CN"/>
        </w:rPr>
      </w:pPr>
    </w:p>
    <w:p w14:paraId="28BA8132">
      <w:pPr>
        <w:ind w:firstLine="420"/>
        <w:rPr>
          <w:rFonts w:hint="eastAsia"/>
          <w:lang w:eastAsia="zh-CN"/>
        </w:rPr>
      </w:pPr>
    </w:p>
    <w:p w14:paraId="2B2F11F2">
      <w:pPr>
        <w:ind w:firstLine="420"/>
        <w:rPr>
          <w:rFonts w:hint="eastAsia"/>
          <w:lang w:eastAsia="zh-CN"/>
        </w:rPr>
        <w:sectPr>
          <w:headerReference r:id="rId11" w:type="default"/>
          <w:footerReference r:id="rId12" w:type="default"/>
          <w:pgSz w:w="11910" w:h="16840"/>
          <w:pgMar w:top="1640" w:right="720" w:bottom="1340" w:left="1260" w:header="1449" w:footer="1141" w:gutter="0"/>
          <w:pgNumType w:fmt="upperRoman" w:start="1"/>
          <w:cols w:space="720" w:num="1"/>
        </w:sectPr>
      </w:pPr>
    </w:p>
    <w:p w14:paraId="47D040CA">
      <w:pPr>
        <w:pStyle w:val="8"/>
        <w:spacing w:before="2"/>
        <w:ind w:firstLine="400"/>
        <w:jc w:val="center"/>
        <w:rPr>
          <w:rFonts w:hint="eastAsia"/>
          <w:sz w:val="20"/>
          <w:lang w:eastAsia="zh-CN"/>
        </w:rPr>
      </w:pPr>
    </w:p>
    <w:p w14:paraId="6E85192F">
      <w:pPr>
        <w:pStyle w:val="8"/>
        <w:ind w:right="412" w:firstLine="640"/>
        <w:jc w:val="center"/>
        <w:rPr>
          <w:rFonts w:hint="eastAsia" w:ascii="黑体" w:hAnsi="黑体" w:eastAsia="黑体" w:cs="Times New Roman"/>
          <w:color w:val="auto"/>
          <w:kern w:val="2"/>
          <w:sz w:val="32"/>
          <w:szCs w:val="32"/>
          <w:lang w:eastAsia="zh-CN" w:bidi="ar-SA"/>
        </w:rPr>
      </w:pPr>
      <w:bookmarkStart w:id="30" w:name="_Toc17754"/>
      <w:bookmarkStart w:id="31" w:name="_Toc16500"/>
      <w:bookmarkStart w:id="32" w:name="_Toc19826"/>
      <w:bookmarkStart w:id="33" w:name="_Toc28142"/>
      <w:bookmarkStart w:id="34" w:name="_Toc24841"/>
      <w:bookmarkStart w:id="35" w:name="_Toc228824481"/>
      <w:r>
        <w:rPr>
          <w:rFonts w:hint="eastAsia" w:ascii="黑体" w:hAnsi="黑体" w:eastAsia="黑体" w:cs="Times New Roman"/>
          <w:color w:val="auto"/>
          <w:kern w:val="2"/>
          <w:sz w:val="32"/>
          <w:szCs w:val="32"/>
          <w:lang w:eastAsia="zh-CN" w:bidi="ar-SA"/>
        </w:rPr>
        <w:t>民用电动垂直起降固定翼无人机船上安全作业</w:t>
      </w:r>
      <w:bookmarkEnd w:id="30"/>
      <w:bookmarkEnd w:id="31"/>
      <w:bookmarkEnd w:id="32"/>
      <w:bookmarkEnd w:id="33"/>
      <w:bookmarkEnd w:id="34"/>
      <w:bookmarkStart w:id="36" w:name="_Toc6476"/>
      <w:bookmarkStart w:id="37" w:name="_Toc16367"/>
      <w:bookmarkStart w:id="38" w:name="_Toc222"/>
      <w:bookmarkStart w:id="39" w:name="_Toc1381"/>
      <w:bookmarkStart w:id="40" w:name="_Toc8132"/>
      <w:r>
        <w:rPr>
          <w:rFonts w:hint="eastAsia" w:ascii="黑体" w:hAnsi="黑体" w:eastAsia="黑体" w:cs="Times New Roman"/>
          <w:color w:val="auto"/>
          <w:kern w:val="2"/>
          <w:sz w:val="32"/>
          <w:szCs w:val="32"/>
          <w:lang w:eastAsia="zh-CN" w:bidi="ar-SA"/>
        </w:rPr>
        <w:t>技术规程</w:t>
      </w:r>
      <w:bookmarkEnd w:id="35"/>
      <w:bookmarkEnd w:id="36"/>
      <w:bookmarkEnd w:id="37"/>
      <w:bookmarkEnd w:id="38"/>
      <w:bookmarkEnd w:id="39"/>
      <w:bookmarkEnd w:id="40"/>
    </w:p>
    <w:p w14:paraId="1C6450A1">
      <w:pPr>
        <w:pStyle w:val="37"/>
        <w:spacing w:before="240" w:after="240"/>
        <w:rPr>
          <w:rFonts w:hint="eastAsia"/>
        </w:rPr>
      </w:pPr>
      <w:bookmarkStart w:id="41" w:name="_bookmark1"/>
      <w:bookmarkEnd w:id="41"/>
      <w:bookmarkStart w:id="42" w:name="1_范围"/>
      <w:bookmarkEnd w:id="42"/>
      <w:bookmarkStart w:id="43" w:name="_Toc228824482"/>
      <w:bookmarkStart w:id="44" w:name="_Toc228825808"/>
      <w:bookmarkStart w:id="45" w:name="_Toc228825675"/>
      <w:bookmarkStart w:id="46" w:name="_Toc228826433"/>
      <w:bookmarkStart w:id="47" w:name="_Toc228826559"/>
      <w:r>
        <w:rPr>
          <w:rFonts w:hint="eastAsia"/>
        </w:rPr>
        <w:t>1 范围</w:t>
      </w:r>
      <w:bookmarkEnd w:id="43"/>
      <w:bookmarkEnd w:id="44"/>
      <w:bookmarkEnd w:id="45"/>
      <w:bookmarkEnd w:id="46"/>
      <w:bookmarkEnd w:id="47"/>
    </w:p>
    <w:p w14:paraId="0A121AA0">
      <w:pPr>
        <w:pStyle w:val="32"/>
        <w:ind w:firstLine="420"/>
        <w:rPr>
          <w:rFonts w:hint="eastAsia"/>
        </w:rPr>
      </w:pPr>
      <w:r>
        <w:t>本文件规定了</w:t>
      </w:r>
      <w:r>
        <w:rPr>
          <w:rFonts w:hint="eastAsia"/>
        </w:rPr>
        <w:t>民用电动</w:t>
      </w:r>
      <w:r>
        <w:t>垂直起降固定翼</w:t>
      </w:r>
      <w:r>
        <w:rPr>
          <w:rFonts w:hint="eastAsia"/>
        </w:rPr>
        <w:t>无人机</w:t>
      </w:r>
      <w:r>
        <w:t>在</w:t>
      </w:r>
      <w:r>
        <w:rPr>
          <w:rFonts w:hint="eastAsia"/>
        </w:rPr>
        <w:t>船上起降</w:t>
      </w:r>
      <w:r>
        <w:t>进行作业前的准备、作业过程的控制、作业后的检查与维护、应急情况的处置以及作业记录与复盘的安全技术要求。</w:t>
      </w:r>
    </w:p>
    <w:p w14:paraId="10CDFA30">
      <w:pPr>
        <w:pStyle w:val="32"/>
        <w:ind w:firstLine="420"/>
        <w:rPr>
          <w:rFonts w:hint="eastAsia"/>
        </w:rPr>
      </w:pPr>
      <w:r>
        <w:t>本</w:t>
      </w:r>
      <w:bookmarkStart w:id="48" w:name="OLE_LINK38"/>
      <w:r>
        <w:t>文件</w:t>
      </w:r>
      <w:bookmarkEnd w:id="48"/>
      <w:r>
        <w:t>适用于中华人民共和国管辖海域内，使用</w:t>
      </w:r>
      <w:r>
        <w:rPr>
          <w:rFonts w:hint="eastAsia"/>
        </w:rPr>
        <w:t>民用电动</w:t>
      </w:r>
      <w:r>
        <w:t>垂直起降固定翼无人</w:t>
      </w:r>
      <w:r>
        <w:rPr>
          <w:rFonts w:hint="eastAsia"/>
        </w:rPr>
        <w:t>机</w:t>
      </w:r>
      <w:r>
        <w:t>在各类具备相应作业条件的船</w:t>
      </w:r>
      <w:r>
        <w:rPr>
          <w:rFonts w:hint="eastAsia"/>
        </w:rPr>
        <w:t>上起降进行</w:t>
      </w:r>
      <w:r>
        <w:t>飞行</w:t>
      </w:r>
      <w:r>
        <w:rPr>
          <w:rFonts w:hint="eastAsia"/>
        </w:rPr>
        <w:t>活动</w:t>
      </w:r>
      <w:r>
        <w:t>，</w:t>
      </w:r>
      <w:r>
        <w:rPr>
          <w:rFonts w:hint="eastAsia"/>
        </w:rPr>
        <w:t>从事</w:t>
      </w:r>
      <w:r>
        <w:t>海洋测绘</w:t>
      </w:r>
      <w:r>
        <w:rPr>
          <w:rFonts w:hint="eastAsia"/>
        </w:rPr>
        <w:t>、</w:t>
      </w:r>
      <w:r>
        <w:t>海</w:t>
      </w:r>
      <w:r>
        <w:rPr>
          <w:rFonts w:hint="eastAsia"/>
        </w:rPr>
        <w:t>洋</w:t>
      </w:r>
      <w:r>
        <w:t>调查、海洋</w:t>
      </w:r>
      <w:r>
        <w:rPr>
          <w:rFonts w:hint="eastAsia"/>
        </w:rPr>
        <w:t>监视</w:t>
      </w:r>
      <w:r>
        <w:t>监测、海</w:t>
      </w:r>
      <w:r>
        <w:rPr>
          <w:rFonts w:hint="eastAsia"/>
        </w:rPr>
        <w:t>洋</w:t>
      </w:r>
      <w:r>
        <w:t>执法</w:t>
      </w:r>
      <w:r>
        <w:rPr>
          <w:rFonts w:hint="eastAsia"/>
        </w:rPr>
        <w:t>监管</w:t>
      </w:r>
      <w:r>
        <w:t>、海上搜寻巡检等</w:t>
      </w:r>
      <w:r>
        <w:rPr>
          <w:rFonts w:hint="eastAsia"/>
        </w:rPr>
        <w:t>任务</w:t>
      </w:r>
      <w:r>
        <w:t>。</w:t>
      </w:r>
    </w:p>
    <w:p w14:paraId="2F78B614">
      <w:pPr>
        <w:pStyle w:val="37"/>
        <w:spacing w:before="240" w:after="240"/>
        <w:rPr>
          <w:rFonts w:hint="eastAsia"/>
        </w:rPr>
      </w:pPr>
      <w:bookmarkStart w:id="49" w:name="_bookmark2"/>
      <w:bookmarkEnd w:id="49"/>
      <w:bookmarkStart w:id="50" w:name="2_规范性引用文件"/>
      <w:bookmarkEnd w:id="50"/>
      <w:bookmarkStart w:id="51" w:name="_Toc228825676"/>
      <w:bookmarkStart w:id="52" w:name="_Toc228824483"/>
      <w:bookmarkStart w:id="53" w:name="_Toc228826560"/>
      <w:bookmarkStart w:id="54" w:name="_Toc228825809"/>
      <w:bookmarkStart w:id="55" w:name="OLE_LINK37"/>
      <w:bookmarkStart w:id="56" w:name="_Toc228826434"/>
      <w:r>
        <w:rPr>
          <w:rFonts w:hint="eastAsia"/>
        </w:rPr>
        <w:t>2 规范性引用文件</w:t>
      </w:r>
      <w:bookmarkEnd w:id="51"/>
      <w:bookmarkEnd w:id="52"/>
      <w:bookmarkEnd w:id="53"/>
      <w:bookmarkEnd w:id="54"/>
      <w:bookmarkEnd w:id="55"/>
      <w:bookmarkEnd w:id="56"/>
    </w:p>
    <w:sdt>
      <w:sdtPr>
        <w:rPr>
          <w:rFonts w:hint="eastAsia"/>
        </w:rPr>
        <w:id w:val="715848253"/>
        <w:placeholder>
          <w:docPart w:val="A8024605A2284CBEBB395F774208E32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FF92DF6">
          <w:pPr>
            <w:pStyle w:val="3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F3016F">
      <w:pPr>
        <w:pStyle w:val="32"/>
        <w:ind w:firstLine="420"/>
        <w:rPr>
          <w:rFonts w:hint="eastAsia"/>
        </w:rPr>
      </w:pPr>
      <w:bookmarkStart w:id="57" w:name="_Toc228824498"/>
      <w:bookmarkStart w:id="58" w:name="OLE_LINK3"/>
      <w:bookmarkStart w:id="59" w:name="_Toc228824486"/>
      <w:bookmarkStart w:id="60" w:name="_Toc228824484"/>
      <w:r>
        <w:t>GB   39800.8-2024 个体防护装备配备规范 第8部分：船舶</w:t>
      </w:r>
      <w:bookmarkEnd w:id="57"/>
    </w:p>
    <w:p w14:paraId="0F139DD8">
      <w:pPr>
        <w:pStyle w:val="32"/>
        <w:ind w:firstLine="420"/>
        <w:rPr>
          <w:rFonts w:hint="eastAsia"/>
        </w:rPr>
      </w:pPr>
      <w:r>
        <w:t>GB   42590-2023</w:t>
      </w:r>
      <w:bookmarkEnd w:id="58"/>
      <w:r>
        <w:t xml:space="preserve">   民用无人驾驶航空器系统安全要求</w:t>
      </w:r>
      <w:bookmarkEnd w:id="59"/>
    </w:p>
    <w:p w14:paraId="7E9B285A">
      <w:pPr>
        <w:pStyle w:val="32"/>
        <w:ind w:firstLine="420"/>
        <w:rPr>
          <w:rFonts w:hint="eastAsia"/>
        </w:rPr>
      </w:pPr>
      <w:r>
        <w:t>GB   46750-2025   民用无人驾驶航空器系统运行识别规范</w:t>
      </w:r>
    </w:p>
    <w:p w14:paraId="34DCA0DA">
      <w:pPr>
        <w:pStyle w:val="32"/>
        <w:ind w:firstLine="420"/>
        <w:rPr>
          <w:rFonts w:hint="eastAsia"/>
        </w:rPr>
      </w:pPr>
      <w:bookmarkStart w:id="61" w:name="_Toc228824487"/>
      <w:r>
        <w:t>GB   46761-2025   民用无人驾驶航空器实名登记和激活要求</w:t>
      </w:r>
      <w:bookmarkEnd w:id="61"/>
    </w:p>
    <w:p w14:paraId="19B7E631">
      <w:pPr>
        <w:pStyle w:val="32"/>
        <w:ind w:firstLine="420"/>
        <w:rPr>
          <w:rFonts w:hint="eastAsia"/>
        </w:rPr>
      </w:pPr>
      <w:bookmarkStart w:id="62" w:name="_Toc228824502"/>
      <w:r>
        <w:t xml:space="preserve">GB </w:t>
      </w:r>
      <w:r>
        <w:rPr>
          <w:rFonts w:hint="eastAsia"/>
        </w:rPr>
        <w:t xml:space="preserve">  </w:t>
      </w:r>
      <w:r>
        <w:t>50429-2007   铝合金结构设计规范</w:t>
      </w:r>
      <w:bookmarkEnd w:id="62"/>
    </w:p>
    <w:p w14:paraId="6492CC03">
      <w:pPr>
        <w:pStyle w:val="32"/>
        <w:ind w:firstLine="420"/>
        <w:rPr>
          <w:rFonts w:hint="eastAsia"/>
        </w:rPr>
      </w:pPr>
      <w:bookmarkStart w:id="63" w:name="_Toc228824501"/>
      <w:bookmarkStart w:id="64" w:name="_Toc228824500"/>
      <w:bookmarkStart w:id="65" w:name="_Toc228824505"/>
      <w:r>
        <w:t>GB/T 4208-2017    外壳防护等级（IP代码）</w:t>
      </w:r>
      <w:bookmarkEnd w:id="63"/>
    </w:p>
    <w:p w14:paraId="716E8901">
      <w:pPr>
        <w:pStyle w:val="32"/>
        <w:ind w:firstLine="420"/>
        <w:rPr>
          <w:rFonts w:hint="eastAsia"/>
        </w:rPr>
      </w:pPr>
      <w:bookmarkStart w:id="66" w:name="OLE_LINK56"/>
      <w:r>
        <w:t>GB/T 7727.1-2008</w:t>
      </w:r>
      <w:bookmarkEnd w:id="66"/>
      <w:r>
        <w:t xml:space="preserve">  船舶通用术语 第1部分：综合</w:t>
      </w:r>
    </w:p>
    <w:p w14:paraId="1B834CD8">
      <w:pPr>
        <w:pStyle w:val="32"/>
        <w:ind w:firstLine="420"/>
        <w:rPr>
          <w:rFonts w:hint="eastAsia"/>
        </w:rPr>
      </w:pPr>
      <w:r>
        <w:t>GB/T 10250-2025</w:t>
      </w:r>
      <w:r>
        <w:rPr>
          <w:rFonts w:hint="eastAsia"/>
        </w:rPr>
        <w:t xml:space="preserve">   </w:t>
      </w:r>
      <w:bookmarkStart w:id="67" w:name="OLE_LINK33"/>
      <w:r>
        <w:t>船舶电气与电子设备 电磁兼容性 金属船体船舶</w:t>
      </w:r>
      <w:bookmarkEnd w:id="64"/>
      <w:bookmarkEnd w:id="67"/>
    </w:p>
    <w:p w14:paraId="7D5811C3">
      <w:pPr>
        <w:pStyle w:val="32"/>
        <w:ind w:firstLine="420"/>
        <w:rPr>
          <w:rFonts w:hint="eastAsia"/>
        </w:rPr>
      </w:pPr>
      <w:r>
        <w:t>GB/T 12763.3-2020 海洋调查规范 第3部分：海洋气象观测</w:t>
      </w:r>
      <w:bookmarkEnd w:id="65"/>
    </w:p>
    <w:p w14:paraId="4E838A21">
      <w:pPr>
        <w:pStyle w:val="32"/>
        <w:ind w:firstLine="420"/>
        <w:rPr>
          <w:rFonts w:hint="eastAsia"/>
        </w:rPr>
      </w:pPr>
      <w:bookmarkStart w:id="68" w:name="_Toc228824503"/>
      <w:bookmarkStart w:id="69" w:name="_Toc228824497"/>
      <w:r>
        <w:t>GB/T 15920-2010</w:t>
      </w:r>
      <w:r>
        <w:rPr>
          <w:rFonts w:hint="eastAsia"/>
        </w:rPr>
        <w:t xml:space="preserve">   </w:t>
      </w:r>
      <w:r>
        <w:t>海洋学术语 物理海洋学</w:t>
      </w:r>
      <w:bookmarkEnd w:id="68"/>
    </w:p>
    <w:p w14:paraId="65407ADB">
      <w:pPr>
        <w:pStyle w:val="32"/>
        <w:ind w:firstLine="420"/>
        <w:rPr>
          <w:rFonts w:hint="eastAsia"/>
        </w:rPr>
      </w:pPr>
      <w:r>
        <w:t>GB/T 17626</w:t>
      </w:r>
      <w:r>
        <w:rPr>
          <w:rFonts w:hint="eastAsia"/>
        </w:rPr>
        <w:t xml:space="preserve">（所有部分） </w:t>
      </w:r>
      <w:r>
        <w:t>电磁兼容 试验和测量技术</w:t>
      </w:r>
      <w:bookmarkEnd w:id="69"/>
    </w:p>
    <w:p w14:paraId="227AA770">
      <w:pPr>
        <w:pStyle w:val="32"/>
        <w:ind w:firstLine="420"/>
        <w:rPr>
          <w:rFonts w:hint="eastAsia"/>
        </w:rPr>
      </w:pPr>
      <w:bookmarkStart w:id="70" w:name="OLE_LINK42"/>
      <w:bookmarkStart w:id="71" w:name="_Toc228824506"/>
      <w:r>
        <w:t>GB/T 17838</w:t>
      </w:r>
      <w:bookmarkEnd w:id="70"/>
      <w:r>
        <w:t>-2017‌   ‌船舶海洋水文气象辅助测报规范</w:t>
      </w:r>
      <w:bookmarkEnd w:id="71"/>
    </w:p>
    <w:p w14:paraId="337CD381">
      <w:pPr>
        <w:pStyle w:val="32"/>
        <w:ind w:firstLine="420"/>
        <w:rPr>
          <w:rFonts w:hint="eastAsia"/>
        </w:rPr>
      </w:pPr>
      <w:bookmarkStart w:id="72" w:name="OLE_LINK2"/>
      <w:bookmarkStart w:id="73" w:name="_Toc228824504"/>
      <w:r>
        <w:t>GB/T 19721.2</w:t>
      </w:r>
      <w:bookmarkEnd w:id="72"/>
      <w:r>
        <w:t>-2017 海洋预报和警报发布 第2部分：海浪预报和警报发布</w:t>
      </w:r>
      <w:bookmarkEnd w:id="73"/>
    </w:p>
    <w:p w14:paraId="2B41FBE0">
      <w:pPr>
        <w:pStyle w:val="32"/>
        <w:ind w:firstLine="420"/>
        <w:rPr>
          <w:rFonts w:hint="eastAsia"/>
        </w:rPr>
      </w:pPr>
      <w:bookmarkStart w:id="74" w:name="_Toc228824495"/>
      <w:r>
        <w:t>GB/T 2423.17-2024 环境试验 第2部分：试验方法 试验Ka：盐雾</w:t>
      </w:r>
      <w:bookmarkEnd w:id="74"/>
    </w:p>
    <w:p w14:paraId="181ABAA5">
      <w:pPr>
        <w:pStyle w:val="32"/>
        <w:ind w:firstLine="420"/>
        <w:rPr>
          <w:rFonts w:hint="eastAsia"/>
        </w:rPr>
      </w:pPr>
      <w:bookmarkStart w:id="75" w:name="_Toc228824509"/>
      <w:bookmarkStart w:id="76" w:name="_Toc228824507"/>
      <w:bookmarkStart w:id="77" w:name="OLE_LINK24"/>
      <w:r>
        <w:t>GB/T 27964</w:t>
      </w:r>
      <w:r>
        <w:rPr>
          <w:rFonts w:hint="eastAsia"/>
        </w:rPr>
        <w:t xml:space="preserve">-2011   </w:t>
      </w:r>
      <w:r>
        <w:t>雾的预报等级</w:t>
      </w:r>
      <w:bookmarkEnd w:id="75"/>
    </w:p>
    <w:p w14:paraId="4FFF8C84">
      <w:pPr>
        <w:pStyle w:val="32"/>
        <w:ind w:firstLine="420"/>
        <w:rPr>
          <w:rFonts w:hint="eastAsia"/>
        </w:rPr>
      </w:pPr>
      <w:r>
        <w:t>GB/T 28591-2012   风力等级</w:t>
      </w:r>
      <w:bookmarkEnd w:id="76"/>
      <w:bookmarkEnd w:id="77"/>
    </w:p>
    <w:p w14:paraId="3BFDE5A4">
      <w:pPr>
        <w:pStyle w:val="32"/>
        <w:ind w:firstLine="420"/>
        <w:rPr>
          <w:rFonts w:hint="eastAsia"/>
        </w:rPr>
      </w:pPr>
      <w:bookmarkStart w:id="78" w:name="_Toc228824510"/>
      <w:r>
        <w:t>GB/T 28592</w:t>
      </w:r>
      <w:r>
        <w:rPr>
          <w:rFonts w:hint="eastAsia"/>
        </w:rPr>
        <w:t xml:space="preserve">-2012   </w:t>
      </w:r>
      <w:r>
        <w:t>降水量等级</w:t>
      </w:r>
      <w:bookmarkEnd w:id="78"/>
    </w:p>
    <w:p w14:paraId="23615785">
      <w:pPr>
        <w:pStyle w:val="32"/>
        <w:ind w:firstLine="420"/>
        <w:rPr>
          <w:rFonts w:hint="eastAsia"/>
        </w:rPr>
      </w:pPr>
      <w:bookmarkStart w:id="79" w:name="_Toc228824499"/>
      <w:r>
        <w:t>GB/T 32227-2015   船用工作救生衣</w:t>
      </w:r>
      <w:bookmarkEnd w:id="79"/>
    </w:p>
    <w:p w14:paraId="2F9B7399">
      <w:pPr>
        <w:pStyle w:val="32"/>
        <w:ind w:firstLine="420"/>
        <w:rPr>
          <w:rFonts w:hint="eastAsia"/>
        </w:rPr>
      </w:pPr>
      <w:bookmarkStart w:id="80" w:name="_Toc228824485"/>
      <w:r>
        <w:t xml:space="preserve">GB/T </w:t>
      </w:r>
      <w:r>
        <w:rPr>
          <w:rFonts w:hint="eastAsia"/>
        </w:rPr>
        <w:t>35018</w:t>
      </w:r>
      <w:r>
        <w:t>-20</w:t>
      </w:r>
      <w:r>
        <w:rPr>
          <w:rFonts w:hint="eastAsia"/>
        </w:rPr>
        <w:t xml:space="preserve">18   </w:t>
      </w:r>
      <w:r>
        <w:t>民用无人</w:t>
      </w:r>
      <w:r>
        <w:rPr>
          <w:rFonts w:hint="eastAsia"/>
        </w:rPr>
        <w:t>驾驶航空器系统</w:t>
      </w:r>
      <w:r>
        <w:t>分类及分级</w:t>
      </w:r>
      <w:bookmarkEnd w:id="80"/>
    </w:p>
    <w:p w14:paraId="33B9642C">
      <w:pPr>
        <w:pStyle w:val="32"/>
        <w:ind w:firstLine="420"/>
        <w:rPr>
          <w:rFonts w:hint="eastAsia"/>
        </w:rPr>
      </w:pPr>
      <w:bookmarkStart w:id="81" w:name="_Toc228824511"/>
      <w:r>
        <w:t>GB/T 38121-2023   雷电防护 雷暴预警系统</w:t>
      </w:r>
      <w:bookmarkEnd w:id="81"/>
    </w:p>
    <w:p w14:paraId="7CC7C998">
      <w:pPr>
        <w:pStyle w:val="32"/>
        <w:ind w:firstLine="420"/>
        <w:rPr>
          <w:rFonts w:hint="eastAsia"/>
        </w:rPr>
      </w:pPr>
      <w:r>
        <w:t>GB/T 38152-2019   无人驾驶航空器系统术语</w:t>
      </w:r>
      <w:bookmarkEnd w:id="60"/>
    </w:p>
    <w:p w14:paraId="7D7C7544">
      <w:pPr>
        <w:pStyle w:val="32"/>
        <w:ind w:firstLine="420"/>
        <w:rPr>
          <w:rFonts w:hint="eastAsia"/>
        </w:rPr>
      </w:pPr>
      <w:bookmarkStart w:id="82" w:name="_Toc228824512"/>
      <w:r>
        <w:t>GB/T 38659.1-2020 电磁兼容 风险评估 第1部分：电子电气设备</w:t>
      </w:r>
      <w:bookmarkEnd w:id="82"/>
    </w:p>
    <w:p w14:paraId="4FEDE3FF">
      <w:pPr>
        <w:pStyle w:val="32"/>
        <w:ind w:firstLine="420"/>
        <w:rPr>
          <w:rFonts w:hint="eastAsia"/>
        </w:rPr>
      </w:pPr>
      <w:bookmarkStart w:id="83" w:name="_Toc228824490"/>
      <w:r>
        <w:t>GB/T 38909-2020</w:t>
      </w:r>
      <w:r>
        <w:rPr>
          <w:rFonts w:hint="eastAsia"/>
        </w:rPr>
        <w:t xml:space="preserve">   </w:t>
      </w:r>
      <w:r>
        <w:t>民用轻小型无人</w:t>
      </w:r>
      <w:r>
        <w:rPr>
          <w:rFonts w:hint="eastAsia"/>
        </w:rPr>
        <w:t>机</w:t>
      </w:r>
      <w:r>
        <w:t>系统电磁兼容性要求</w:t>
      </w:r>
      <w:r>
        <w:rPr>
          <w:rFonts w:hint="eastAsia"/>
        </w:rPr>
        <w:t>与试验方法</w:t>
      </w:r>
      <w:bookmarkEnd w:id="83"/>
    </w:p>
    <w:p w14:paraId="39DEB9DD">
      <w:pPr>
        <w:pStyle w:val="32"/>
        <w:ind w:firstLine="420"/>
        <w:rPr>
          <w:rFonts w:hint="eastAsia"/>
        </w:rPr>
      </w:pPr>
      <w:bookmarkStart w:id="84" w:name="_Toc228824491"/>
      <w:r>
        <w:t>GB/T 38930-2020   民用轻小型无人</w:t>
      </w:r>
      <w:r>
        <w:rPr>
          <w:rFonts w:hint="eastAsia"/>
        </w:rPr>
        <w:t>机</w:t>
      </w:r>
      <w:r>
        <w:t>系统抗风性要求及试验方法</w:t>
      </w:r>
      <w:bookmarkEnd w:id="84"/>
    </w:p>
    <w:p w14:paraId="35C308DD">
      <w:pPr>
        <w:pStyle w:val="32"/>
        <w:ind w:firstLine="420"/>
        <w:rPr>
          <w:rFonts w:hint="eastAsia"/>
        </w:rPr>
      </w:pPr>
      <w:bookmarkStart w:id="85" w:name="_Toc228824492"/>
      <w:bookmarkStart w:id="86" w:name="OLE_LINK11"/>
      <w:r>
        <w:t>GB/T 38924</w:t>
      </w:r>
      <w:r>
        <w:rPr>
          <w:rFonts w:hint="eastAsia"/>
        </w:rPr>
        <w:t>（所有部分）</w:t>
      </w:r>
      <w:r>
        <w:t xml:space="preserve"> 民用轻小型无人</w:t>
      </w:r>
      <w:r>
        <w:rPr>
          <w:rFonts w:hint="eastAsia"/>
        </w:rPr>
        <w:t>机</w:t>
      </w:r>
      <w:r>
        <w:t>系统环境试验方法​</w:t>
      </w:r>
      <w:bookmarkEnd w:id="85"/>
    </w:p>
    <w:p w14:paraId="335FAB98">
      <w:pPr>
        <w:pStyle w:val="32"/>
        <w:ind w:firstLine="420"/>
        <w:rPr>
          <w:rFonts w:hint="eastAsia"/>
        </w:rPr>
      </w:pPr>
      <w:bookmarkStart w:id="87" w:name="_Toc228824489"/>
      <w:r>
        <w:t xml:space="preserve">GB/T 38931-2020   </w:t>
      </w:r>
      <w:r>
        <w:fldChar w:fldCharType="begin"/>
      </w:r>
      <w:r>
        <w:instrText xml:space="preserve"> HYPERLINK "http://book.gzlib.org/StdDetail.jsp?dxid=320151505455&amp;d=3E9261BA117DB781DC12CF875C61628E" \t "_blank" </w:instrText>
      </w:r>
      <w:r>
        <w:fldChar w:fldCharType="separate"/>
      </w:r>
      <w:r>
        <w:t>民用轻小型无人</w:t>
      </w:r>
      <w:r>
        <w:rPr>
          <w:rFonts w:hint="eastAsia"/>
        </w:rPr>
        <w:t>机</w:t>
      </w:r>
      <w:r>
        <w:t>系统安全性通用要求</w:t>
      </w:r>
      <w:bookmarkEnd w:id="87"/>
      <w:r>
        <w:fldChar w:fldCharType="end"/>
      </w:r>
    </w:p>
    <w:p w14:paraId="0E2FA517">
      <w:pPr>
        <w:pStyle w:val="32"/>
        <w:ind w:firstLine="420"/>
        <w:rPr>
          <w:rFonts w:hint="eastAsia"/>
        </w:rPr>
      </w:pPr>
      <w:bookmarkStart w:id="88" w:name="OLE_LINK21"/>
      <w:bookmarkStart w:id="89" w:name="_Toc228824508"/>
      <w:bookmarkStart w:id="90" w:name="_Toc228824494"/>
      <w:r>
        <w:t>GB/T 42176</w:t>
      </w:r>
      <w:bookmarkEnd w:id="88"/>
      <w:r>
        <w:t>-2022</w:t>
      </w:r>
      <w:r>
        <w:rPr>
          <w:rFonts w:hint="eastAsia"/>
        </w:rPr>
        <w:t xml:space="preserve">  </w:t>
      </w:r>
      <w:r>
        <w:t xml:space="preserve"> 海浪等级</w:t>
      </w:r>
      <w:bookmarkEnd w:id="89"/>
    </w:p>
    <w:p w14:paraId="499F7B06">
      <w:pPr>
        <w:pStyle w:val="32"/>
        <w:ind w:firstLine="420"/>
        <w:rPr>
          <w:rFonts w:hint="eastAsia"/>
        </w:rPr>
      </w:pPr>
      <w:r>
        <w:t>GB/T 46460-2025   无人驾驶航空器用锂离子电池和电池组规范</w:t>
      </w:r>
      <w:bookmarkEnd w:id="90"/>
    </w:p>
    <w:bookmarkEnd w:id="86"/>
    <w:p w14:paraId="655DD3FE">
      <w:pPr>
        <w:pStyle w:val="32"/>
        <w:ind w:firstLine="420"/>
        <w:rPr>
          <w:rFonts w:hint="eastAsia"/>
        </w:rPr>
      </w:pPr>
      <w:bookmarkStart w:id="91" w:name="_Toc228824493"/>
      <w:r>
        <w:t xml:space="preserve">HB   8736-2023    </w:t>
      </w:r>
      <w:bookmarkStart w:id="92" w:name="OLE_LINK64"/>
      <w:r>
        <w:t>民用垂直起降固定翼无人驾驶航空器系统通用要求</w:t>
      </w:r>
      <w:bookmarkEnd w:id="91"/>
      <w:bookmarkEnd w:id="92"/>
    </w:p>
    <w:p w14:paraId="3C1E3302">
      <w:pPr>
        <w:pStyle w:val="32"/>
        <w:ind w:firstLine="420"/>
        <w:rPr>
          <w:rFonts w:hint="eastAsia"/>
        </w:rPr>
      </w:pPr>
      <w:bookmarkStart w:id="93" w:name="_Toc228824488"/>
      <w:bookmarkStart w:id="94" w:name="OLE_LINK6"/>
      <w:r>
        <w:t>MH/T 1069-2018    无人驾驶航空器系统作业飞行技术规范</w:t>
      </w:r>
      <w:bookmarkEnd w:id="93"/>
    </w:p>
    <w:bookmarkEnd w:id="94"/>
    <w:p w14:paraId="0C2967A3">
      <w:pPr>
        <w:pStyle w:val="32"/>
        <w:ind w:firstLine="420"/>
        <w:rPr>
          <w:rFonts w:hint="eastAsia"/>
        </w:rPr>
      </w:pPr>
      <w:bookmarkStart w:id="95" w:name="_Toc228824496"/>
      <w:r>
        <w:t>GB/Z 18039.1-2019</w:t>
      </w:r>
      <w:r>
        <w:rPr>
          <w:rFonts w:hint="eastAsia"/>
        </w:rPr>
        <w:t xml:space="preserve"> </w:t>
      </w:r>
      <w:r>
        <w:t>电磁兼容 环境 电磁环境的描述和分类</w:t>
      </w:r>
      <w:bookmarkEnd w:id="95"/>
    </w:p>
    <w:p w14:paraId="007C3D3D">
      <w:pPr>
        <w:pStyle w:val="32"/>
        <w:ind w:firstLine="420"/>
        <w:rPr>
          <w:rFonts w:hint="eastAsia"/>
        </w:rPr>
      </w:pPr>
      <w:bookmarkStart w:id="96" w:name="_Toc228824513"/>
      <w:r>
        <w:t xml:space="preserve">GB/Z 37150-2018 </w:t>
      </w:r>
      <w:r>
        <w:rPr>
          <w:rFonts w:hint="eastAsia"/>
        </w:rPr>
        <w:t xml:space="preserve">  </w:t>
      </w:r>
      <w:r>
        <w:t>电磁兼容可靠性风险评估导则</w:t>
      </w:r>
      <w:bookmarkEnd w:id="96"/>
    </w:p>
    <w:p w14:paraId="4F67C9CF">
      <w:pPr>
        <w:pStyle w:val="37"/>
        <w:spacing w:before="240" w:after="240"/>
        <w:rPr>
          <w:rFonts w:hint="eastAsia"/>
        </w:rPr>
      </w:pPr>
      <w:bookmarkStart w:id="97" w:name="_Toc228826435"/>
      <w:bookmarkStart w:id="98" w:name="_Toc228825810"/>
      <w:bookmarkStart w:id="99" w:name="_Toc228824514"/>
      <w:bookmarkStart w:id="100" w:name="_Toc228826561"/>
      <w:bookmarkStart w:id="101" w:name="_Toc228825677"/>
      <w:r>
        <w:rPr>
          <w:rFonts w:hint="eastAsia"/>
        </w:rPr>
        <w:t>3 术语和定义</w:t>
      </w:r>
      <w:bookmarkEnd w:id="97"/>
      <w:bookmarkEnd w:id="98"/>
      <w:bookmarkEnd w:id="99"/>
      <w:bookmarkEnd w:id="100"/>
      <w:bookmarkEnd w:id="101"/>
      <w:bookmarkStart w:id="102" w:name="3_术语和定义"/>
      <w:bookmarkEnd w:id="102"/>
      <w:bookmarkStart w:id="103" w:name="_bookmark3"/>
      <w:bookmarkEnd w:id="103"/>
    </w:p>
    <w:p w14:paraId="5B1B6CE6">
      <w:pPr>
        <w:pStyle w:val="32"/>
        <w:ind w:firstLine="420"/>
        <w:rPr>
          <w:rFonts w:hint="eastAsia"/>
        </w:rPr>
      </w:pPr>
      <w:bookmarkStart w:id="586" w:name="_GoBack"/>
      <w:bookmarkEnd w:id="586"/>
      <w:r>
        <w:rPr>
          <w:rFonts w:hint="eastAsia"/>
        </w:rPr>
        <w:t>下列术语和定义适用于本文件。</w:t>
      </w:r>
      <w:bookmarkStart w:id="104" w:name="_Toc28201"/>
      <w:bookmarkStart w:id="105" w:name="_Toc13496"/>
      <w:bookmarkStart w:id="106" w:name="_Toc7038"/>
      <w:bookmarkStart w:id="107" w:name="_Toc30428"/>
    </w:p>
    <w:p w14:paraId="15E9F017">
      <w:pPr>
        <w:pStyle w:val="38"/>
      </w:pPr>
      <w:bookmarkStart w:id="108" w:name="_Toc228826562"/>
      <w:bookmarkStart w:id="109" w:name="_Toc228825678"/>
      <w:bookmarkStart w:id="110" w:name="_Toc228824515"/>
      <w:bookmarkStart w:id="111" w:name="_Toc228825811"/>
      <w:bookmarkStart w:id="112" w:name="_Toc228826436"/>
      <w:r>
        <w:rPr>
          <w:rFonts w:hint="eastAsia"/>
        </w:rPr>
        <w:t xml:space="preserve">3.1 </w:t>
      </w:r>
      <w:r>
        <w:t>民用无人</w:t>
      </w:r>
      <w:r>
        <w:rPr>
          <w:rFonts w:hint="eastAsia"/>
        </w:rPr>
        <w:t xml:space="preserve">机 civil unmanned </w:t>
      </w:r>
      <w:bookmarkStart w:id="113" w:name="OLE_LINK45"/>
      <w:r>
        <w:rPr>
          <w:rFonts w:hint="eastAsia"/>
        </w:rPr>
        <w:t>aircraft</w:t>
      </w:r>
      <w:bookmarkEnd w:id="108"/>
      <w:bookmarkEnd w:id="109"/>
      <w:bookmarkEnd w:id="110"/>
      <w:bookmarkEnd w:id="111"/>
      <w:bookmarkEnd w:id="112"/>
      <w:bookmarkEnd w:id="113"/>
    </w:p>
    <w:p w14:paraId="1A7B4983">
      <w:pPr>
        <w:pStyle w:val="32"/>
        <w:ind w:firstLine="420"/>
        <w:rPr>
          <w:rFonts w:hint="eastAsia"/>
        </w:rPr>
      </w:pPr>
      <w:r>
        <w:t>民用无人</w:t>
      </w:r>
      <w:r>
        <w:rPr>
          <w:rFonts w:hint="eastAsia"/>
        </w:rPr>
        <w:t>机</w:t>
      </w:r>
      <w:r>
        <w:t>是没有机载驾驶员、自备动力系统</w:t>
      </w:r>
      <w:r>
        <w:rPr>
          <w:rFonts w:hint="eastAsia"/>
        </w:rPr>
        <w:t>，从事民用领域（</w:t>
      </w:r>
      <w:r>
        <w:t>除军事、海关、警务、消防救援飞行任务外</w:t>
      </w:r>
      <w:r>
        <w:rPr>
          <w:rFonts w:hint="eastAsia"/>
        </w:rPr>
        <w:t>）飞行活动</w:t>
      </w:r>
      <w:r>
        <w:t>的</w:t>
      </w:r>
      <w:r>
        <w:rPr>
          <w:rFonts w:hint="eastAsia"/>
        </w:rPr>
        <w:t>航空器</w:t>
      </w:r>
      <w:r>
        <w:t>。</w:t>
      </w:r>
    </w:p>
    <w:p w14:paraId="09817A9B">
      <w:pPr>
        <w:pStyle w:val="32"/>
        <w:ind w:firstLine="420"/>
        <w:rPr>
          <w:rFonts w:hint="eastAsia"/>
        </w:rPr>
      </w:pPr>
      <w:r>
        <w:t>[来源：《无人驾驶航空器飞行管理暂行条例》（国务院、中央军委令第761号，2024年施行）第二条第二款，有修改，有修改]</w:t>
      </w:r>
    </w:p>
    <w:p w14:paraId="1B0B269E">
      <w:pPr>
        <w:pStyle w:val="38"/>
      </w:pPr>
      <w:bookmarkStart w:id="114" w:name="_Toc228826563"/>
      <w:bookmarkStart w:id="115" w:name="_Toc228825812"/>
      <w:bookmarkStart w:id="116" w:name="_Toc228825679"/>
      <w:bookmarkStart w:id="117" w:name="_Toc228826437"/>
      <w:bookmarkStart w:id="118" w:name="_Toc228824516"/>
      <w:r>
        <w:rPr>
          <w:rFonts w:hint="eastAsia"/>
        </w:rPr>
        <w:t>3.2 无人机系统 unmanned aircraft system</w:t>
      </w:r>
      <w:bookmarkEnd w:id="114"/>
      <w:bookmarkEnd w:id="115"/>
      <w:bookmarkEnd w:id="116"/>
      <w:bookmarkEnd w:id="117"/>
      <w:bookmarkEnd w:id="118"/>
    </w:p>
    <w:p w14:paraId="1ADDCAC3">
      <w:pPr>
        <w:pStyle w:val="32"/>
        <w:ind w:firstLine="420"/>
        <w:rPr>
          <w:rFonts w:hint="eastAsia"/>
        </w:rPr>
      </w:pPr>
      <w:r>
        <w:rPr>
          <w:rFonts w:hint="eastAsia"/>
        </w:rPr>
        <w:t>无人机系统是以无人驾驶航空器为主体，配有相关的遥控站、所需的指挥和和控制链路以及设计规定的任何其他部件，能完成特定任务的一组设备。</w:t>
      </w:r>
    </w:p>
    <w:p w14:paraId="1A973326">
      <w:pPr>
        <w:pStyle w:val="32"/>
        <w:ind w:firstLine="420"/>
        <w:rPr>
          <w:rFonts w:hint="eastAsia"/>
        </w:rPr>
      </w:pPr>
      <w:r>
        <w:t>[来源：GB/T 38152-2019，</w:t>
      </w:r>
      <w:r>
        <w:rPr>
          <w:rFonts w:hint="eastAsia"/>
        </w:rPr>
        <w:t>2.1，</w:t>
      </w:r>
      <w:r>
        <w:t>有修改]</w:t>
      </w:r>
    </w:p>
    <w:p w14:paraId="2F666573">
      <w:pPr>
        <w:pStyle w:val="38"/>
      </w:pPr>
      <w:bookmarkStart w:id="119" w:name="_Toc228826564"/>
      <w:bookmarkStart w:id="120" w:name="_Toc228824517"/>
      <w:bookmarkStart w:id="121" w:name="_Toc228826438"/>
      <w:bookmarkStart w:id="122" w:name="_Toc228825680"/>
      <w:bookmarkStart w:id="123" w:name="_Toc228825813"/>
      <w:r>
        <w:t xml:space="preserve">3.3 </w:t>
      </w:r>
      <w:r>
        <w:rPr>
          <w:rFonts w:hint="eastAsia"/>
        </w:rPr>
        <w:t>电动垂直起降固定翼</w:t>
      </w:r>
      <w:bookmarkEnd w:id="104"/>
      <w:bookmarkEnd w:id="105"/>
      <w:bookmarkEnd w:id="106"/>
      <w:bookmarkEnd w:id="107"/>
      <w:r>
        <w:rPr>
          <w:rFonts w:hint="eastAsia"/>
        </w:rPr>
        <w:t xml:space="preserve">无人机 </w:t>
      </w:r>
      <w:r>
        <w:t xml:space="preserve">electric </w:t>
      </w:r>
      <w:r>
        <w:rPr>
          <w:rFonts w:hint="eastAsia"/>
        </w:rPr>
        <w:t>vertical take-off and landing fixed-wing unmanned aircraft</w:t>
      </w:r>
      <w:bookmarkEnd w:id="119"/>
      <w:bookmarkEnd w:id="120"/>
      <w:bookmarkEnd w:id="121"/>
      <w:bookmarkEnd w:id="122"/>
      <w:bookmarkEnd w:id="123"/>
    </w:p>
    <w:p w14:paraId="55302EC1">
      <w:pPr>
        <w:pStyle w:val="32"/>
        <w:ind w:firstLine="420"/>
        <w:rPr>
          <w:rFonts w:hint="eastAsia"/>
        </w:rPr>
      </w:pPr>
      <w:r>
        <w:rPr>
          <w:rFonts w:hint="eastAsia"/>
        </w:rPr>
        <w:t>电动垂起固定翼</w:t>
      </w:r>
      <w:r>
        <w:t>无人</w:t>
      </w:r>
      <w:r>
        <w:rPr>
          <w:rFonts w:hint="eastAsia"/>
        </w:rPr>
        <w:t>机</w:t>
      </w:r>
      <w:r>
        <w:t>是</w:t>
      </w:r>
      <w:r>
        <w:rPr>
          <w:rFonts w:hint="eastAsia"/>
        </w:rPr>
        <w:t>一种</w:t>
      </w:r>
      <w:r>
        <w:t>融合旋翼垂直起降能力与固定翼高效巡航优势的复合型</w:t>
      </w:r>
      <w:r>
        <w:rPr>
          <w:rFonts w:hint="eastAsia"/>
        </w:rPr>
        <w:t>无人机，其垂直方向起降依靠纯电动力装置实现。</w:t>
      </w:r>
    </w:p>
    <w:p w14:paraId="35DF3780">
      <w:pPr>
        <w:pStyle w:val="32"/>
        <w:ind w:firstLine="420"/>
        <w:rPr>
          <w:rFonts w:hint="eastAsia"/>
        </w:rPr>
      </w:pPr>
      <w:r>
        <w:rPr>
          <w:rFonts w:hint="eastAsia"/>
        </w:rPr>
        <w:t>注：本文件中简称“无人机”。</w:t>
      </w:r>
    </w:p>
    <w:p w14:paraId="4BC35D50">
      <w:pPr>
        <w:pStyle w:val="32"/>
        <w:ind w:firstLine="420"/>
        <w:rPr>
          <w:rFonts w:hint="eastAsia"/>
        </w:rPr>
      </w:pPr>
      <w:r>
        <w:t>[来源：HB 8736-2023,3.1，有修改]</w:t>
      </w:r>
    </w:p>
    <w:p w14:paraId="14A6E546">
      <w:pPr>
        <w:pStyle w:val="38"/>
      </w:pPr>
      <w:bookmarkStart w:id="124" w:name="_Toc228826565"/>
      <w:bookmarkStart w:id="125" w:name="_Toc228824518"/>
      <w:bookmarkStart w:id="126" w:name="_Toc228826439"/>
      <w:bookmarkStart w:id="127" w:name="_Toc228825681"/>
      <w:bookmarkStart w:id="128" w:name="_Toc228825814"/>
      <w:r>
        <w:rPr>
          <w:rFonts w:hint="eastAsia"/>
        </w:rPr>
        <w:t xml:space="preserve">3.4 </w:t>
      </w:r>
      <w:r>
        <w:t>垂直起降固定翼无人机全尺寸  over-all length/width of vertical take-off and landing fixed-wing unmanned aircraft</w:t>
      </w:r>
      <w:bookmarkEnd w:id="124"/>
      <w:bookmarkEnd w:id="125"/>
      <w:bookmarkEnd w:id="126"/>
      <w:bookmarkEnd w:id="127"/>
      <w:bookmarkEnd w:id="128"/>
    </w:p>
    <w:p w14:paraId="1BACDCBD">
      <w:pPr>
        <w:pStyle w:val="32"/>
        <w:ind w:firstLine="420"/>
        <w:rPr>
          <w:rFonts w:hint="eastAsia"/>
        </w:rPr>
      </w:pPr>
      <w:r>
        <w:t>垂直起降固定翼无人机旋翼转动、折叠结构全部展开时，能够有效覆盖机身的最小外接圆直径。</w:t>
      </w:r>
    </w:p>
    <w:p w14:paraId="2734CAC5">
      <w:pPr>
        <w:pStyle w:val="32"/>
        <w:ind w:firstLine="420"/>
        <w:rPr>
          <w:rFonts w:hint="eastAsia"/>
        </w:rPr>
      </w:pPr>
      <w:r>
        <w:t>[来源：参考GB/T 38152-2019中的‘无人机尺寸’定义及HB 8736-2023中对于飞机外廓尺寸的描述，根据本标准需要定义]</w:t>
      </w:r>
    </w:p>
    <w:p w14:paraId="318DFF76">
      <w:pPr>
        <w:pStyle w:val="38"/>
      </w:pPr>
      <w:bookmarkStart w:id="129" w:name="_Toc18406"/>
      <w:bookmarkStart w:id="130" w:name="_Toc1719"/>
      <w:bookmarkStart w:id="131" w:name="_Toc353"/>
      <w:bookmarkStart w:id="132" w:name="_Toc7921"/>
      <w:bookmarkStart w:id="133" w:name="_Toc228826440"/>
      <w:bookmarkStart w:id="134" w:name="_Toc228826566"/>
      <w:bookmarkStart w:id="135" w:name="_Toc228824519"/>
      <w:bookmarkStart w:id="136" w:name="_Toc228825682"/>
      <w:bookmarkStart w:id="137" w:name="_Toc228825815"/>
      <w:r>
        <w:rPr>
          <w:rFonts w:hint="eastAsia"/>
        </w:rPr>
        <w:t>3.5 垂直起降固定翼无人机船上作业</w:t>
      </w:r>
      <w:bookmarkEnd w:id="129"/>
      <w:bookmarkEnd w:id="130"/>
      <w:bookmarkEnd w:id="131"/>
      <w:bookmarkEnd w:id="132"/>
      <w:r>
        <w:rPr>
          <w:rFonts w:hint="eastAsia"/>
        </w:rPr>
        <w:t xml:space="preserve"> shipboard operations of vertical take-off and landing fixed-wing unmanned aircraft</w:t>
      </w:r>
      <w:bookmarkEnd w:id="133"/>
      <w:bookmarkEnd w:id="134"/>
      <w:bookmarkEnd w:id="135"/>
      <w:bookmarkEnd w:id="136"/>
      <w:bookmarkEnd w:id="137"/>
    </w:p>
    <w:p w14:paraId="6C7593E0">
      <w:pPr>
        <w:pStyle w:val="32"/>
        <w:ind w:firstLine="420"/>
        <w:rPr>
          <w:rFonts w:hint="eastAsia"/>
        </w:rPr>
      </w:pPr>
      <w:r>
        <w:t>垂直起降固定翼无人</w:t>
      </w:r>
      <w:r>
        <w:rPr>
          <w:rFonts w:hint="eastAsia"/>
        </w:rPr>
        <w:t>机</w:t>
      </w:r>
      <w:r>
        <w:t>船上作业是指具备垂直起降能力的固定翼无人</w:t>
      </w:r>
      <w:r>
        <w:rPr>
          <w:rFonts w:hint="eastAsia"/>
        </w:rPr>
        <w:t>机</w:t>
      </w:r>
      <w:r>
        <w:t>在</w:t>
      </w:r>
      <w:r>
        <w:rPr>
          <w:rFonts w:hint="eastAsia"/>
        </w:rPr>
        <w:t>作业船舶甲板起降区</w:t>
      </w:r>
      <w:r>
        <w:t>执行</w:t>
      </w:r>
      <w:r>
        <w:rPr>
          <w:rFonts w:hint="eastAsia"/>
        </w:rPr>
        <w:t>起降并开展</w:t>
      </w:r>
      <w:r>
        <w:t>飞行</w:t>
      </w:r>
      <w:r>
        <w:rPr>
          <w:rFonts w:hint="eastAsia"/>
        </w:rPr>
        <w:t>任务</w:t>
      </w:r>
      <w:r>
        <w:t>的过程。</w:t>
      </w:r>
    </w:p>
    <w:p w14:paraId="79ACEA05">
      <w:pPr>
        <w:pStyle w:val="32"/>
        <w:ind w:firstLine="420"/>
        <w:rPr>
          <w:rFonts w:hint="eastAsia"/>
        </w:rPr>
      </w:pPr>
      <w:r>
        <w:t>[来源：参考MH/T 1069-2018中‘作业飞行’概念及T/BITS 0016-2023，根据本标准需要定义]</w:t>
      </w:r>
    </w:p>
    <w:p w14:paraId="48478E79">
      <w:pPr>
        <w:pStyle w:val="38"/>
      </w:pPr>
      <w:bookmarkStart w:id="138" w:name="_Toc228826567"/>
      <w:bookmarkStart w:id="139" w:name="_Toc228826441"/>
      <w:bookmarkStart w:id="140" w:name="_Toc228825816"/>
      <w:bookmarkStart w:id="141" w:name="_Toc228824520"/>
      <w:bookmarkStart w:id="142" w:name="_Toc228825683"/>
      <w:r>
        <w:t>3.</w:t>
      </w:r>
      <w:r>
        <w:rPr>
          <w:rFonts w:hint="eastAsia"/>
        </w:rPr>
        <w:t>6</w:t>
      </w:r>
      <w:r>
        <w:t xml:space="preserve"> 作业人员 operational personnel</w:t>
      </w:r>
      <w:bookmarkEnd w:id="138"/>
      <w:bookmarkEnd w:id="139"/>
      <w:bookmarkEnd w:id="140"/>
      <w:bookmarkEnd w:id="141"/>
      <w:bookmarkEnd w:id="142"/>
    </w:p>
    <w:p w14:paraId="6805F532">
      <w:pPr>
        <w:pStyle w:val="32"/>
        <w:ind w:firstLine="420"/>
        <w:rPr>
          <w:rFonts w:hint="eastAsia"/>
        </w:rPr>
      </w:pPr>
      <w:r>
        <w:t>经过专业培训、具备相应资质，并直接参与无人</w:t>
      </w:r>
      <w:r>
        <w:rPr>
          <w:rFonts w:hint="eastAsia"/>
        </w:rPr>
        <w:t>机</w:t>
      </w:r>
      <w:r>
        <w:t>船上作业规划、操控、安全保障及维护等工作的全部人员。通常包括无人</w:t>
      </w:r>
      <w:r>
        <w:rPr>
          <w:rFonts w:hint="eastAsia"/>
        </w:rPr>
        <w:t>机</w:t>
      </w:r>
      <w:r>
        <w:t>操控员、</w:t>
      </w:r>
      <w:r>
        <w:rPr>
          <w:rFonts w:hint="eastAsia"/>
        </w:rPr>
        <w:t>观测</w:t>
      </w:r>
      <w:r>
        <w:t>员和技术支持</w:t>
      </w:r>
      <w:r>
        <w:rPr>
          <w:rFonts w:hint="eastAsia"/>
        </w:rPr>
        <w:t>人</w:t>
      </w:r>
      <w:r>
        <w:t>员。</w:t>
      </w:r>
    </w:p>
    <w:p w14:paraId="0062349E">
      <w:pPr>
        <w:pStyle w:val="32"/>
        <w:ind w:firstLine="420"/>
        <w:rPr>
          <w:rFonts w:hint="eastAsia"/>
        </w:rPr>
      </w:pPr>
      <w:r>
        <w:t>[来源：参考MH/T 1069-2018,3.2，有修改]</w:t>
      </w:r>
    </w:p>
    <w:p w14:paraId="5F9A613D">
      <w:pPr>
        <w:pStyle w:val="38"/>
      </w:pPr>
      <w:bookmarkStart w:id="143" w:name="_Toc228826568"/>
      <w:bookmarkStart w:id="144" w:name="_Toc228826442"/>
      <w:bookmarkStart w:id="145" w:name="_Toc228824521"/>
      <w:bookmarkStart w:id="146" w:name="_Toc228825817"/>
      <w:bookmarkStart w:id="147" w:name="_Toc228825684"/>
      <w:r>
        <w:t>3.</w:t>
      </w:r>
      <w:r>
        <w:rPr>
          <w:rFonts w:hint="eastAsia"/>
        </w:rPr>
        <w:t>7</w:t>
      </w:r>
      <w:r>
        <w:t xml:space="preserve"> 作业船舶 mother ship</w:t>
      </w:r>
      <w:bookmarkEnd w:id="143"/>
      <w:bookmarkEnd w:id="144"/>
      <w:bookmarkEnd w:id="145"/>
      <w:bookmarkEnd w:id="146"/>
      <w:bookmarkEnd w:id="147"/>
    </w:p>
    <w:p w14:paraId="3C1B5A77">
      <w:pPr>
        <w:pStyle w:val="32"/>
        <w:ind w:firstLine="420"/>
        <w:rPr>
          <w:rFonts w:hint="eastAsia"/>
        </w:rPr>
      </w:pPr>
      <w:r>
        <w:t>为无人</w:t>
      </w:r>
      <w:r>
        <w:rPr>
          <w:rFonts w:hint="eastAsia"/>
        </w:rPr>
        <w:t>机</w:t>
      </w:r>
      <w:r>
        <w:t>船上作业提供起降</w:t>
      </w:r>
      <w:r>
        <w:rPr>
          <w:rFonts w:hint="eastAsia"/>
        </w:rPr>
        <w:t>区</w:t>
      </w:r>
      <w:r>
        <w:t>、控制站点和后勤保障支持的船舶。</w:t>
      </w:r>
    </w:p>
    <w:p w14:paraId="5716D5A4">
      <w:pPr>
        <w:pStyle w:val="32"/>
        <w:ind w:firstLine="420"/>
        <w:rPr>
          <w:rFonts w:hint="eastAsia"/>
        </w:rPr>
      </w:pPr>
      <w:bookmarkStart w:id="148" w:name="_Toc23060"/>
      <w:bookmarkStart w:id="149" w:name="_Toc18161"/>
      <w:bookmarkStart w:id="150" w:name="_Toc19947"/>
      <w:bookmarkStart w:id="151" w:name="_Toc19532"/>
      <w:bookmarkStart w:id="152" w:name="_Toc228824522"/>
      <w:bookmarkStart w:id="153" w:name="_Toc228826569"/>
      <w:bookmarkStart w:id="154" w:name="_Toc228825818"/>
      <w:bookmarkStart w:id="155" w:name="_Toc228826443"/>
      <w:bookmarkStart w:id="156" w:name="_Toc228825685"/>
      <w:r>
        <w:t>[来源：参考T/BITS 0016-2023中‘母船’的定义，有修改]</w:t>
      </w:r>
    </w:p>
    <w:p w14:paraId="006A5F93">
      <w:pPr>
        <w:pStyle w:val="38"/>
      </w:pPr>
      <w:r>
        <w:rPr>
          <w:rFonts w:hint="eastAsia"/>
        </w:rPr>
        <w:t>3.8 船舶甲板</w:t>
      </w:r>
      <w:bookmarkEnd w:id="148"/>
      <w:bookmarkEnd w:id="149"/>
      <w:bookmarkEnd w:id="150"/>
      <w:bookmarkEnd w:id="151"/>
      <w:r>
        <w:rPr>
          <w:rFonts w:hint="eastAsia"/>
        </w:rPr>
        <w:t xml:space="preserve"> ship deck</w:t>
      </w:r>
      <w:bookmarkEnd w:id="152"/>
      <w:bookmarkEnd w:id="153"/>
      <w:bookmarkEnd w:id="154"/>
      <w:bookmarkEnd w:id="155"/>
      <w:bookmarkEnd w:id="156"/>
    </w:p>
    <w:p w14:paraId="048BC8DB">
      <w:pPr>
        <w:pStyle w:val="32"/>
        <w:ind w:firstLine="420"/>
        <w:rPr>
          <w:rFonts w:hint="eastAsia"/>
        </w:rPr>
      </w:pPr>
      <w:r>
        <w:rPr>
          <w:rFonts w:hint="eastAsia"/>
        </w:rPr>
        <w:t>船舶用于安装设备和行走工作的主要平台</w:t>
      </w:r>
      <w:r>
        <w:t>。</w:t>
      </w:r>
    </w:p>
    <w:p w14:paraId="4387AB2C">
      <w:pPr>
        <w:pStyle w:val="32"/>
        <w:ind w:firstLine="420"/>
        <w:rPr>
          <w:rFonts w:hint="eastAsia"/>
        </w:rPr>
      </w:pPr>
      <w:r>
        <w:t>[来源：参考T/CWAN 0065-2022，</w:t>
      </w:r>
      <w:r>
        <w:rPr>
          <w:rFonts w:hint="eastAsia"/>
        </w:rPr>
        <w:t>3.1，</w:t>
      </w:r>
      <w:r>
        <w:t>有修改]</w:t>
      </w:r>
    </w:p>
    <w:p w14:paraId="3A412A08">
      <w:pPr>
        <w:pStyle w:val="38"/>
      </w:pPr>
      <w:bookmarkStart w:id="157" w:name="_Toc228826444"/>
      <w:bookmarkStart w:id="158" w:name="_Toc228825819"/>
      <w:bookmarkStart w:id="159" w:name="_Toc228826570"/>
      <w:bookmarkStart w:id="160" w:name="_Toc228824523"/>
      <w:bookmarkStart w:id="161" w:name="_Toc228825686"/>
      <w:r>
        <w:t>3.</w:t>
      </w:r>
      <w:r>
        <w:rPr>
          <w:rFonts w:hint="eastAsia"/>
        </w:rPr>
        <w:t>9</w:t>
      </w:r>
      <w:r>
        <w:t xml:space="preserve"> </w:t>
      </w:r>
      <w:r>
        <w:rPr>
          <w:rFonts w:hint="eastAsia"/>
        </w:rPr>
        <w:t xml:space="preserve"> </w:t>
      </w:r>
      <w:r>
        <w:t>起降区</w:t>
      </w:r>
      <w:r>
        <w:rPr>
          <w:rFonts w:hint="eastAsia"/>
        </w:rPr>
        <w:t xml:space="preserve"> </w:t>
      </w:r>
      <w:r>
        <w:t>​</w:t>
      </w:r>
      <w:r>
        <w:rPr>
          <w:rFonts w:hint="eastAsia"/>
        </w:rPr>
        <w:t>t</w:t>
      </w:r>
      <w:r>
        <w:t>ake-off and landing area</w:t>
      </w:r>
      <w:bookmarkEnd w:id="157"/>
      <w:bookmarkEnd w:id="158"/>
      <w:bookmarkEnd w:id="159"/>
      <w:bookmarkEnd w:id="160"/>
      <w:bookmarkEnd w:id="161"/>
    </w:p>
    <w:p w14:paraId="20D5844C">
      <w:pPr>
        <w:pStyle w:val="32"/>
        <w:ind w:firstLine="420"/>
        <w:rPr>
          <w:rFonts w:hint="eastAsia"/>
        </w:rPr>
      </w:pPr>
      <w:r>
        <w:t>船舶甲板</w:t>
      </w:r>
      <w:r>
        <w:rPr>
          <w:rFonts w:hint="eastAsia"/>
        </w:rPr>
        <w:t>直接</w:t>
      </w:r>
      <w:r>
        <w:t>清理标识</w:t>
      </w:r>
      <w:r>
        <w:rPr>
          <w:rFonts w:hint="eastAsia"/>
        </w:rPr>
        <w:t>或经适用性改造后</w:t>
      </w:r>
      <w:r>
        <w:t>用于无人</w:t>
      </w:r>
      <w:r>
        <w:rPr>
          <w:rFonts w:hint="eastAsia"/>
        </w:rPr>
        <w:t>机</w:t>
      </w:r>
      <w:r>
        <w:t>垂直起降的区域，包括接</w:t>
      </w:r>
      <w:r>
        <w:rPr>
          <w:rFonts w:hint="eastAsia"/>
        </w:rPr>
        <w:t>（</w:t>
      </w:r>
      <w:r>
        <w:t>离</w:t>
      </w:r>
      <w:r>
        <w:rPr>
          <w:rFonts w:hint="eastAsia"/>
        </w:rPr>
        <w:t>）</w:t>
      </w:r>
      <w:r>
        <w:t>地区</w:t>
      </w:r>
      <w:r>
        <w:rPr>
          <w:rFonts w:hint="eastAsia"/>
        </w:rPr>
        <w:t>、</w:t>
      </w:r>
      <w:r>
        <w:t>最终进近和起飞区</w:t>
      </w:r>
      <w:r>
        <w:rPr>
          <w:rFonts w:hint="eastAsia"/>
        </w:rPr>
        <w:t>、</w:t>
      </w:r>
      <w:r>
        <w:t>安全区</w:t>
      </w:r>
      <w:r>
        <w:rPr>
          <w:rFonts w:hint="eastAsia"/>
        </w:rPr>
        <w:t>和</w:t>
      </w:r>
      <w:r>
        <w:t>起降平台。</w:t>
      </w:r>
    </w:p>
    <w:p w14:paraId="1A073CB5">
      <w:pPr>
        <w:pStyle w:val="32"/>
        <w:ind w:firstLine="420"/>
        <w:rPr>
          <w:rFonts w:hint="eastAsia"/>
        </w:rPr>
      </w:pPr>
      <w:r>
        <w:t>[来源：参考MH/T 1069-2018中‘3.11 起降场’、T/BITS 0016-2023及TCCAATB 000-2024中相关术语，根据船上作业场景综合定义]</w:t>
      </w:r>
    </w:p>
    <w:p w14:paraId="57910CD7">
      <w:pPr>
        <w:pStyle w:val="38"/>
      </w:pPr>
      <w:bookmarkStart w:id="162" w:name="_Toc228825687"/>
      <w:bookmarkStart w:id="163" w:name="_Toc228826445"/>
      <w:bookmarkStart w:id="164" w:name="_Toc228826571"/>
      <w:bookmarkStart w:id="165" w:name="_Toc228824524"/>
      <w:bookmarkStart w:id="166" w:name="_Toc228825820"/>
      <w:r>
        <w:t xml:space="preserve">3.10 </w:t>
      </w:r>
      <w:bookmarkStart w:id="167" w:name="OLE_LINK19"/>
      <w:r>
        <w:t>接</w:t>
      </w:r>
      <w:r>
        <w:rPr>
          <w:rFonts w:hint="eastAsia"/>
        </w:rPr>
        <w:t>（</w:t>
      </w:r>
      <w:r>
        <w:t>离</w:t>
      </w:r>
      <w:r>
        <w:rPr>
          <w:rFonts w:hint="eastAsia"/>
        </w:rPr>
        <w:t>）</w:t>
      </w:r>
      <w:r>
        <w:t>地区</w:t>
      </w:r>
      <w:bookmarkEnd w:id="167"/>
      <w:r>
        <w:rPr>
          <w:rFonts w:hint="eastAsia"/>
        </w:rPr>
        <w:t xml:space="preserve"> </w:t>
      </w:r>
      <w:r>
        <w:t>touch down and lift-off area</w:t>
      </w:r>
      <w:bookmarkEnd w:id="162"/>
      <w:bookmarkEnd w:id="163"/>
      <w:bookmarkEnd w:id="164"/>
      <w:bookmarkEnd w:id="165"/>
      <w:bookmarkEnd w:id="166"/>
      <w:r>
        <w:t xml:space="preserve"> </w:t>
      </w:r>
    </w:p>
    <w:p w14:paraId="3DDAC0DC">
      <w:pPr>
        <w:pStyle w:val="32"/>
        <w:ind w:firstLine="420"/>
        <w:rPr>
          <w:rFonts w:hint="eastAsia"/>
        </w:rPr>
      </w:pPr>
      <w:r>
        <w:t>供垂直起降</w:t>
      </w:r>
      <w:r>
        <w:rPr>
          <w:rFonts w:hint="eastAsia"/>
        </w:rPr>
        <w:t>固定翼无人机</w:t>
      </w:r>
      <w:r>
        <w:t>接</w:t>
      </w:r>
      <w:r>
        <w:rPr>
          <w:rFonts w:hint="eastAsia"/>
        </w:rPr>
        <w:t>近船舶甲板</w:t>
      </w:r>
      <w:r>
        <w:t>或离</w:t>
      </w:r>
      <w:r>
        <w:rPr>
          <w:rFonts w:hint="eastAsia"/>
        </w:rPr>
        <w:t>开船舶甲板</w:t>
      </w:r>
      <w:r>
        <w:t>的一块承载区。</w:t>
      </w:r>
    </w:p>
    <w:p w14:paraId="73A32251">
      <w:pPr>
        <w:pStyle w:val="32"/>
        <w:ind w:firstLine="420"/>
        <w:rPr>
          <w:rFonts w:hint="eastAsia"/>
        </w:rPr>
      </w:pPr>
      <w:r>
        <w:t>[来源：参考MH/T 1069-2018及TCCAATB 000-2024</w:t>
      </w:r>
      <w:r>
        <w:rPr>
          <w:rFonts w:hint="eastAsia"/>
        </w:rPr>
        <w:t>，3.1</w:t>
      </w:r>
      <w:r>
        <w:t>，根据本标准需要定义]</w:t>
      </w:r>
    </w:p>
    <w:p w14:paraId="2EBF26D7">
      <w:pPr>
        <w:pStyle w:val="38"/>
      </w:pPr>
      <w:bookmarkStart w:id="168" w:name="_Toc228824525"/>
      <w:bookmarkStart w:id="169" w:name="_Toc228825821"/>
      <w:bookmarkStart w:id="170" w:name="_Toc228826572"/>
      <w:bookmarkStart w:id="171" w:name="_Toc228825688"/>
      <w:bookmarkStart w:id="172" w:name="_Toc228826446"/>
      <w:r>
        <w:rPr>
          <w:rFonts w:hint="eastAsia"/>
        </w:rPr>
        <w:t xml:space="preserve">3.11 </w:t>
      </w:r>
      <w:r>
        <w:t>最终进近和起飞区</w:t>
      </w:r>
      <w:r>
        <w:rPr>
          <w:rFonts w:hint="eastAsia"/>
        </w:rPr>
        <w:t xml:space="preserve"> </w:t>
      </w:r>
      <w:r>
        <w:t>final approach and take-off area</w:t>
      </w:r>
      <w:bookmarkEnd w:id="168"/>
      <w:bookmarkEnd w:id="169"/>
      <w:bookmarkEnd w:id="170"/>
      <w:bookmarkEnd w:id="171"/>
      <w:bookmarkEnd w:id="172"/>
    </w:p>
    <w:p w14:paraId="7641D753">
      <w:pPr>
        <w:pStyle w:val="32"/>
        <w:ind w:firstLine="420"/>
        <w:rPr>
          <w:rFonts w:hint="eastAsia"/>
        </w:rPr>
      </w:pPr>
      <w:r>
        <w:t>用于垂直起降固定翼</w:t>
      </w:r>
      <w:r>
        <w:rPr>
          <w:rFonts w:hint="eastAsia"/>
        </w:rPr>
        <w:t>无人机</w:t>
      </w:r>
      <w:r>
        <w:t>完成进近动作的最后阶段到悬停或着陆，以及开始起飞动作的特定区域。</w:t>
      </w:r>
    </w:p>
    <w:p w14:paraId="5F2B17EC">
      <w:pPr>
        <w:pStyle w:val="32"/>
        <w:ind w:firstLine="420"/>
        <w:rPr>
          <w:rFonts w:hint="eastAsia"/>
        </w:rPr>
      </w:pPr>
      <w:r>
        <w:t>[来源：参考TCCAATB 000-2024</w:t>
      </w:r>
      <w:r>
        <w:rPr>
          <w:rFonts w:hint="eastAsia"/>
        </w:rPr>
        <w:t>，3.1</w:t>
      </w:r>
      <w:r>
        <w:t>，有修改]</w:t>
      </w:r>
    </w:p>
    <w:p w14:paraId="0D9C83E2">
      <w:pPr>
        <w:pStyle w:val="38"/>
      </w:pPr>
      <w:bookmarkStart w:id="173" w:name="_Toc228824526"/>
      <w:bookmarkStart w:id="174" w:name="_Toc228825689"/>
      <w:bookmarkStart w:id="175" w:name="_Toc228825822"/>
      <w:bookmarkStart w:id="176" w:name="_Toc228826573"/>
      <w:bookmarkStart w:id="177" w:name="_Toc228826447"/>
      <w:r>
        <w:rPr>
          <w:rFonts w:hint="eastAsia"/>
        </w:rPr>
        <w:t xml:space="preserve">3.12 </w:t>
      </w:r>
      <w:r>
        <w:t>安全区</w:t>
      </w:r>
      <w:r>
        <w:rPr>
          <w:rFonts w:hint="eastAsia"/>
        </w:rPr>
        <w:t xml:space="preserve"> </w:t>
      </w:r>
      <w:r>
        <w:t>safety area</w:t>
      </w:r>
      <w:bookmarkEnd w:id="173"/>
      <w:bookmarkEnd w:id="174"/>
      <w:bookmarkEnd w:id="175"/>
      <w:bookmarkEnd w:id="176"/>
      <w:bookmarkEnd w:id="177"/>
      <w:r>
        <w:t xml:space="preserve"> </w:t>
      </w:r>
    </w:p>
    <w:p w14:paraId="5C224CDE">
      <w:pPr>
        <w:pStyle w:val="32"/>
        <w:ind w:firstLine="420"/>
        <w:rPr>
          <w:rFonts w:hint="eastAsia"/>
        </w:rPr>
      </w:pPr>
      <w:r>
        <w:t>位于最终进近和起飞区周围的、用于减少垂直起降</w:t>
      </w:r>
      <w:r>
        <w:rPr>
          <w:rFonts w:hint="eastAsia"/>
        </w:rPr>
        <w:t>固定翼无人机</w:t>
      </w:r>
      <w:r>
        <w:t>偶然偏离最终进近和起飞区而造成危险的特定区域，该区域除</w:t>
      </w:r>
      <w:r>
        <w:rPr>
          <w:rFonts w:hint="eastAsia"/>
        </w:rPr>
        <w:t>飞</w:t>
      </w:r>
      <w:r>
        <w:t>行所必需的设施、装置外无其他障碍物。</w:t>
      </w:r>
    </w:p>
    <w:p w14:paraId="53895648">
      <w:pPr>
        <w:pStyle w:val="32"/>
        <w:ind w:firstLine="420"/>
        <w:rPr>
          <w:rFonts w:hint="eastAsia"/>
        </w:rPr>
      </w:pPr>
      <w:r>
        <w:t>[来源：参考TCCAATB 000-2024</w:t>
      </w:r>
      <w:r>
        <w:rPr>
          <w:rFonts w:hint="eastAsia"/>
        </w:rPr>
        <w:t>，3.1</w:t>
      </w:r>
      <w:r>
        <w:t>及T/BITS 0016-2023中‘安全区域’的定义，有修改]</w:t>
      </w:r>
    </w:p>
    <w:p w14:paraId="4AED907B">
      <w:pPr>
        <w:pStyle w:val="38"/>
      </w:pPr>
      <w:bookmarkStart w:id="178" w:name="_Toc228826574"/>
      <w:bookmarkStart w:id="179" w:name="_Toc228826448"/>
      <w:bookmarkStart w:id="180" w:name="_Toc228824527"/>
      <w:bookmarkStart w:id="181" w:name="_Toc228825823"/>
      <w:bookmarkStart w:id="182" w:name="_Toc228825690"/>
      <w:r>
        <w:rPr>
          <w:rFonts w:hint="eastAsia"/>
        </w:rPr>
        <w:t xml:space="preserve">3.13 </w:t>
      </w:r>
      <w:r>
        <w:t xml:space="preserve">起降平台 </w:t>
      </w:r>
      <w:r>
        <w:rPr>
          <w:rFonts w:hint="eastAsia"/>
        </w:rPr>
        <w:t>s</w:t>
      </w:r>
      <w:r>
        <w:t xml:space="preserve">hipboard </w:t>
      </w:r>
      <w:r>
        <w:rPr>
          <w:rFonts w:hint="eastAsia"/>
        </w:rPr>
        <w:t>l</w:t>
      </w:r>
      <w:r>
        <w:t xml:space="preserve">anding </w:t>
      </w:r>
      <w:r>
        <w:rPr>
          <w:rFonts w:hint="eastAsia"/>
        </w:rPr>
        <w:t>p</w:t>
      </w:r>
      <w:r>
        <w:t>latform</w:t>
      </w:r>
      <w:bookmarkEnd w:id="178"/>
      <w:bookmarkEnd w:id="179"/>
      <w:bookmarkEnd w:id="180"/>
      <w:bookmarkEnd w:id="181"/>
      <w:bookmarkEnd w:id="182"/>
    </w:p>
    <w:p w14:paraId="56064E10">
      <w:pPr>
        <w:pStyle w:val="32"/>
        <w:ind w:firstLine="420"/>
        <w:rPr>
          <w:rFonts w:hint="eastAsia"/>
        </w:rPr>
      </w:pPr>
      <w:r>
        <w:t>安装在船舶上，</w:t>
      </w:r>
      <w:r>
        <w:rPr>
          <w:rFonts w:hint="eastAsia"/>
        </w:rPr>
        <w:t>对船舶甲板进行适用性改造，</w:t>
      </w:r>
      <w:r>
        <w:t>用于垂直起降</w:t>
      </w:r>
      <w:r>
        <w:rPr>
          <w:rFonts w:hint="eastAsia"/>
        </w:rPr>
        <w:t>固定翼</w:t>
      </w:r>
      <w:r>
        <w:t>无人</w:t>
      </w:r>
      <w:r>
        <w:rPr>
          <w:rFonts w:hint="eastAsia"/>
        </w:rPr>
        <w:t>机</w:t>
      </w:r>
      <w:r>
        <w:t>起飞、降落等</w:t>
      </w:r>
      <w:r>
        <w:rPr>
          <w:rFonts w:hint="eastAsia"/>
        </w:rPr>
        <w:t>的</w:t>
      </w:r>
      <w:r>
        <w:t>专用设备系统</w:t>
      </w:r>
      <w:r>
        <w:rPr>
          <w:rFonts w:hint="eastAsia"/>
        </w:rPr>
        <w:t>。</w:t>
      </w:r>
    </w:p>
    <w:p w14:paraId="4D02C40D">
      <w:pPr>
        <w:pStyle w:val="32"/>
        <w:ind w:firstLine="420"/>
        <w:rPr>
          <w:rFonts w:hint="eastAsia"/>
        </w:rPr>
      </w:pPr>
      <w:r>
        <w:t>[来源：参考T/BITS 0016-2023,3.1，有修改]</w:t>
      </w:r>
    </w:p>
    <w:p w14:paraId="4709DAEA">
      <w:pPr>
        <w:pStyle w:val="38"/>
      </w:pPr>
      <w:bookmarkStart w:id="183" w:name="_Toc228826575"/>
      <w:bookmarkStart w:id="184" w:name="_Toc228824528"/>
      <w:bookmarkStart w:id="185" w:name="_Toc228825824"/>
      <w:bookmarkStart w:id="186" w:name="_Toc228826449"/>
      <w:bookmarkStart w:id="187" w:name="_Toc228825691"/>
      <w:r>
        <w:rPr>
          <w:rFonts w:hint="eastAsia"/>
        </w:rPr>
        <w:t>3.14 净空区 c</w:t>
      </w:r>
      <w:r>
        <w:t>learance Zone</w:t>
      </w:r>
      <w:bookmarkEnd w:id="183"/>
      <w:bookmarkEnd w:id="184"/>
      <w:bookmarkEnd w:id="185"/>
      <w:bookmarkEnd w:id="186"/>
      <w:bookmarkEnd w:id="187"/>
    </w:p>
    <w:p w14:paraId="29DAE193">
      <w:pPr>
        <w:pStyle w:val="32"/>
        <w:ind w:firstLine="420"/>
        <w:rPr>
          <w:rFonts w:hint="eastAsia"/>
        </w:rPr>
      </w:pPr>
      <w:r>
        <w:rPr>
          <w:rFonts w:hint="eastAsia"/>
        </w:rPr>
        <w:t>为保证无人机起降安全，对起降区附近，</w:t>
      </w:r>
      <w:r>
        <w:t>在无人机起降</w:t>
      </w:r>
      <w:r>
        <w:rPr>
          <w:rFonts w:hint="eastAsia"/>
        </w:rPr>
        <w:t>时沿起降航线保证不能有障碍物妨碍导航和飞行的空域范围。</w:t>
      </w:r>
    </w:p>
    <w:p w14:paraId="6A9A4053">
      <w:pPr>
        <w:pStyle w:val="32"/>
        <w:ind w:firstLine="420"/>
        <w:rPr>
          <w:rFonts w:hint="eastAsia"/>
        </w:rPr>
      </w:pPr>
      <w:r>
        <w:t>[来源：参考TCCAATB 000-2024中</w:t>
      </w:r>
      <w:r>
        <w:rPr>
          <w:rFonts w:hint="eastAsia"/>
        </w:rPr>
        <w:t>，3.1</w:t>
      </w:r>
      <w:r>
        <w:t>，</w:t>
      </w:r>
      <w:r>
        <w:rPr>
          <w:rFonts w:hint="eastAsia"/>
        </w:rPr>
        <w:t>有修改</w:t>
      </w:r>
      <w:r>
        <w:t>]</w:t>
      </w:r>
    </w:p>
    <w:p w14:paraId="0065ECDE">
      <w:pPr>
        <w:pStyle w:val="38"/>
      </w:pPr>
      <w:bookmarkStart w:id="188" w:name="_Toc228826450"/>
      <w:bookmarkStart w:id="189" w:name="_Toc228824529"/>
      <w:bookmarkStart w:id="190" w:name="_Toc228825692"/>
      <w:bookmarkStart w:id="191" w:name="_Toc228825825"/>
      <w:bookmarkStart w:id="192" w:name="_Toc228826576"/>
      <w:r>
        <w:rPr>
          <w:rFonts w:hint="eastAsia"/>
        </w:rPr>
        <w:t xml:space="preserve">3.15 安全裕度 </w:t>
      </w:r>
      <w:r>
        <w:t>safety margin</w:t>
      </w:r>
      <w:bookmarkEnd w:id="188"/>
      <w:bookmarkEnd w:id="189"/>
      <w:bookmarkEnd w:id="190"/>
      <w:bookmarkEnd w:id="191"/>
      <w:bookmarkEnd w:id="192"/>
    </w:p>
    <w:p w14:paraId="493C378E">
      <w:pPr>
        <w:pStyle w:val="32"/>
        <w:ind w:firstLine="420"/>
        <w:rPr>
          <w:rFonts w:hint="eastAsia"/>
        </w:rPr>
      </w:pPr>
      <w:r>
        <w:t>为了应对</w:t>
      </w:r>
      <w:r>
        <w:rPr>
          <w:rFonts w:hint="eastAsia"/>
        </w:rPr>
        <w:t>无人机作业过程中</w:t>
      </w:r>
      <w:r>
        <w:t>超出正常预期的风险因素</w:t>
      </w:r>
      <w:r>
        <w:rPr>
          <w:rFonts w:hint="eastAsia"/>
        </w:rPr>
        <w:t>，</w:t>
      </w:r>
      <w:r>
        <w:t xml:space="preserve"> 在设计净空时而额外增加的缓冲空间</w:t>
      </w:r>
      <w:r>
        <w:rPr>
          <w:rFonts w:hint="eastAsia"/>
        </w:rPr>
        <w:t>。</w:t>
      </w:r>
    </w:p>
    <w:p w14:paraId="34806339">
      <w:pPr>
        <w:pStyle w:val="38"/>
      </w:pPr>
      <w:bookmarkStart w:id="193" w:name="_Toc228826451"/>
      <w:bookmarkStart w:id="194" w:name="_Toc228826577"/>
      <w:bookmarkStart w:id="195" w:name="_Toc228824530"/>
      <w:bookmarkStart w:id="196" w:name="_Toc228825693"/>
      <w:bookmarkStart w:id="197" w:name="_Toc228825826"/>
      <w:r>
        <w:rPr>
          <w:rFonts w:hint="eastAsia"/>
        </w:rPr>
        <w:t xml:space="preserve">3.16 </w:t>
      </w:r>
      <w:r>
        <w:t>动态起降点 dynamic home point</w:t>
      </w:r>
      <w:bookmarkEnd w:id="193"/>
      <w:bookmarkEnd w:id="194"/>
      <w:bookmarkEnd w:id="195"/>
      <w:bookmarkEnd w:id="196"/>
      <w:bookmarkEnd w:id="197"/>
    </w:p>
    <w:p w14:paraId="224A7D37">
      <w:pPr>
        <w:pStyle w:val="32"/>
        <w:ind w:firstLine="420"/>
        <w:rPr>
          <w:rFonts w:hint="eastAsia"/>
        </w:rPr>
      </w:pPr>
      <w:r>
        <w:t>在船上作业期间，无人机地面控制系统根据作业船舶的实时全球导航卫星系统（GNSS）位置信息，持续更新并向无人机广播的返航基准点。</w:t>
      </w:r>
    </w:p>
    <w:p w14:paraId="6686EF06">
      <w:pPr>
        <w:pStyle w:val="32"/>
        <w:ind w:firstLine="420"/>
        <w:rPr>
          <w:rFonts w:hint="eastAsia"/>
        </w:rPr>
      </w:pPr>
      <w:r>
        <w:t>[来源：根据目前主流船载无人机系统（如纵横大鹏CW-25E、科比特插翅虎M9等）中‘动态返航点’功能的相关技术文档定义]</w:t>
      </w:r>
    </w:p>
    <w:p w14:paraId="6CCDCBFF">
      <w:pPr>
        <w:pStyle w:val="37"/>
        <w:spacing w:before="240" w:after="240"/>
        <w:rPr>
          <w:rFonts w:hint="eastAsia"/>
        </w:rPr>
      </w:pPr>
      <w:bookmarkStart w:id="198" w:name="_Toc228826578"/>
      <w:bookmarkStart w:id="199" w:name="_Toc228825827"/>
      <w:bookmarkStart w:id="200" w:name="_Toc228826452"/>
      <w:bookmarkStart w:id="201" w:name="_Toc228825694"/>
      <w:bookmarkStart w:id="202" w:name="_Toc228824531"/>
      <w:r>
        <w:rPr>
          <w:rFonts w:hint="eastAsia"/>
        </w:rPr>
        <w:t>4 基本要求</w:t>
      </w:r>
      <w:bookmarkEnd w:id="198"/>
      <w:bookmarkEnd w:id="199"/>
      <w:bookmarkEnd w:id="200"/>
      <w:bookmarkEnd w:id="201"/>
      <w:bookmarkEnd w:id="202"/>
    </w:p>
    <w:p w14:paraId="3172A2C9">
      <w:pPr>
        <w:pStyle w:val="32"/>
        <w:ind w:firstLine="420"/>
        <w:rPr>
          <w:rFonts w:hint="eastAsia"/>
        </w:rPr>
      </w:pPr>
      <w:r>
        <w:t>无人</w:t>
      </w:r>
      <w:r>
        <w:rPr>
          <w:rFonts w:hint="eastAsia"/>
        </w:rPr>
        <w:t>机在船上</w:t>
      </w:r>
      <w:r>
        <w:t>作业</w:t>
      </w:r>
      <w:r>
        <w:rPr>
          <w:rFonts w:hint="eastAsia"/>
        </w:rPr>
        <w:t>时，涉及的</w:t>
      </w:r>
      <w:r>
        <w:t>无人</w:t>
      </w:r>
      <w:r>
        <w:rPr>
          <w:rFonts w:hint="eastAsia"/>
        </w:rPr>
        <w:t>机系统、作业人员、空域使用、飞行活动等均</w:t>
      </w:r>
      <w:r>
        <w:t>应</w:t>
      </w:r>
      <w:r>
        <w:rPr>
          <w:rFonts w:hint="eastAsia"/>
        </w:rPr>
        <w:t>遵守</w:t>
      </w:r>
      <w:r>
        <w:t>《无人驾驶航空器飞行管理暂行条例》《民用无人驾驶航空器运行安全管理规则》</w:t>
      </w:r>
      <w:r>
        <w:rPr>
          <w:rFonts w:hint="eastAsia"/>
        </w:rPr>
        <w:t>（</w:t>
      </w:r>
      <w:r>
        <w:t>CCAR-92规则</w:t>
      </w:r>
      <w:r>
        <w:rPr>
          <w:rFonts w:hint="eastAsia"/>
        </w:rPr>
        <w:t>）等</w:t>
      </w:r>
      <w:r>
        <w:t>相关要求</w:t>
      </w:r>
      <w:r>
        <w:rPr>
          <w:rFonts w:hint="eastAsia"/>
        </w:rPr>
        <w:t>。</w:t>
      </w:r>
    </w:p>
    <w:p w14:paraId="246247A5">
      <w:pPr>
        <w:pStyle w:val="38"/>
      </w:pPr>
      <w:bookmarkStart w:id="203" w:name="_Toc228825695"/>
      <w:bookmarkStart w:id="204" w:name="_Toc228824532"/>
      <w:bookmarkStart w:id="205" w:name="_Toc228826453"/>
      <w:bookmarkStart w:id="206" w:name="_Toc228825828"/>
      <w:bookmarkStart w:id="207" w:name="_Toc228826579"/>
      <w:r>
        <w:rPr>
          <w:rFonts w:hint="eastAsia"/>
        </w:rPr>
        <w:t>4.1 适航与飞行要求</w:t>
      </w:r>
      <w:bookmarkEnd w:id="203"/>
      <w:bookmarkEnd w:id="204"/>
      <w:bookmarkEnd w:id="205"/>
      <w:bookmarkEnd w:id="206"/>
      <w:bookmarkEnd w:id="207"/>
    </w:p>
    <w:p w14:paraId="44D30811">
      <w:pPr>
        <w:pStyle w:val="32"/>
        <w:ind w:firstLine="0" w:firstLineChars="0"/>
        <w:rPr>
          <w:rFonts w:hint="eastAsia"/>
        </w:rPr>
      </w:pPr>
      <w:bookmarkStart w:id="208" w:name="_Toc228825696"/>
      <w:bookmarkStart w:id="209" w:name="_Toc228824533"/>
      <w:bookmarkStart w:id="210" w:name="_Toc228825829"/>
      <w:r>
        <w:t>4.1.1 适航许可</w:t>
      </w:r>
      <w:bookmarkEnd w:id="208"/>
      <w:bookmarkEnd w:id="209"/>
      <w:bookmarkEnd w:id="210"/>
    </w:p>
    <w:p w14:paraId="06A229CB">
      <w:pPr>
        <w:pStyle w:val="32"/>
        <w:ind w:firstLine="420"/>
        <w:rPr>
          <w:rFonts w:hint="eastAsia"/>
        </w:rPr>
      </w:pPr>
      <w:r>
        <w:rPr>
          <w:rFonts w:hint="eastAsia"/>
        </w:rPr>
        <w:t>中型、大型民用</w:t>
      </w:r>
      <w:r>
        <w:t>无人</w:t>
      </w:r>
      <w:r>
        <w:rPr>
          <w:rFonts w:hint="eastAsia"/>
        </w:rPr>
        <w:t>机的飞行等活动</w:t>
      </w:r>
      <w:r>
        <w:t>应当</w:t>
      </w:r>
      <w:r>
        <w:rPr>
          <w:rFonts w:hint="eastAsia"/>
        </w:rPr>
        <w:t>取得</w:t>
      </w:r>
      <w:r>
        <w:t>国务院民用航空主管部门</w:t>
      </w:r>
      <w:r>
        <w:rPr>
          <w:rFonts w:hint="eastAsia"/>
        </w:rPr>
        <w:t>的</w:t>
      </w:r>
      <w:r>
        <w:t>适航</w:t>
      </w:r>
      <w:r>
        <w:rPr>
          <w:rFonts w:hint="eastAsia"/>
        </w:rPr>
        <w:t>许可，</w:t>
      </w:r>
      <w:r>
        <w:t>中</w:t>
      </w:r>
      <w:r>
        <w:rPr>
          <w:rFonts w:hint="eastAsia"/>
        </w:rPr>
        <w:t>大</w:t>
      </w:r>
      <w:r>
        <w:t>型民用无人机适航管理按CCAR-92执行</w:t>
      </w:r>
      <w:r>
        <w:rPr>
          <w:rFonts w:hint="eastAsia"/>
        </w:rPr>
        <w:t>。</w:t>
      </w:r>
      <w:r>
        <w:t>微型、轻型、小型无人机无需取得适航许可</w:t>
      </w:r>
      <w:r>
        <w:rPr>
          <w:rFonts w:hint="eastAsia"/>
        </w:rPr>
        <w:t>，其</w:t>
      </w:r>
      <w:r>
        <w:t>安全要求应符合GB 42590。</w:t>
      </w:r>
    </w:p>
    <w:p w14:paraId="3252328E">
      <w:pPr>
        <w:pStyle w:val="32"/>
        <w:ind w:firstLine="0" w:firstLineChars="0"/>
        <w:rPr>
          <w:rFonts w:hint="eastAsia"/>
        </w:rPr>
      </w:pPr>
      <w:bookmarkStart w:id="211" w:name="_Toc228825697"/>
      <w:bookmarkStart w:id="212" w:name="_Toc228824534"/>
      <w:bookmarkStart w:id="213" w:name="_Toc228825830"/>
      <w:r>
        <w:t>4.1.2 实名登记</w:t>
      </w:r>
      <w:bookmarkEnd w:id="211"/>
      <w:bookmarkEnd w:id="212"/>
      <w:bookmarkEnd w:id="213"/>
    </w:p>
    <w:p w14:paraId="5A8DFB15">
      <w:pPr>
        <w:pStyle w:val="32"/>
        <w:ind w:firstLine="420"/>
        <w:rPr>
          <w:rFonts w:hint="eastAsia"/>
        </w:rPr>
      </w:pPr>
      <w:bookmarkStart w:id="214" w:name="OLE_LINK5"/>
      <w:r>
        <w:t>民用无人</w:t>
      </w:r>
      <w:bookmarkEnd w:id="214"/>
      <w:r>
        <w:rPr>
          <w:rFonts w:hint="eastAsia"/>
        </w:rPr>
        <w:t>机应执行</w:t>
      </w:r>
      <w:r>
        <w:t>GB 46761-2025</w:t>
      </w:r>
      <w:r>
        <w:rPr>
          <w:rFonts w:hint="eastAsia"/>
        </w:rPr>
        <w:t>标准</w:t>
      </w:r>
      <w:r>
        <w:t>进行</w:t>
      </w:r>
      <w:bookmarkStart w:id="215" w:name="OLE_LINK18"/>
      <w:r>
        <w:t>实名登记</w:t>
      </w:r>
      <w:bookmarkEnd w:id="215"/>
      <w:r>
        <w:rPr>
          <w:rFonts w:hint="eastAsia"/>
        </w:rPr>
        <w:t>，</w:t>
      </w:r>
      <w:r>
        <w:t>并符合《民用无人驾驶航空器实名制登记管理规定》（AP-45-AA-2017-03）的要求。</w:t>
      </w:r>
    </w:p>
    <w:p w14:paraId="6037308C">
      <w:pPr>
        <w:pStyle w:val="32"/>
        <w:ind w:firstLine="0" w:firstLineChars="0"/>
        <w:rPr>
          <w:rFonts w:hint="eastAsia"/>
        </w:rPr>
      </w:pPr>
      <w:bookmarkStart w:id="216" w:name="_Toc228824535"/>
      <w:bookmarkStart w:id="217" w:name="_Toc228825698"/>
      <w:bookmarkStart w:id="218" w:name="_Toc228825831"/>
      <w:r>
        <w:t>4.1.3 空域审批</w:t>
      </w:r>
      <w:bookmarkEnd w:id="216"/>
      <w:bookmarkEnd w:id="217"/>
      <w:bookmarkEnd w:id="218"/>
    </w:p>
    <w:p w14:paraId="49306AD0">
      <w:pPr>
        <w:pStyle w:val="32"/>
        <w:ind w:firstLine="420"/>
        <w:rPr>
          <w:rFonts w:hint="eastAsia"/>
        </w:rPr>
      </w:pPr>
      <w:r>
        <w:rPr>
          <w:rFonts w:hint="eastAsia"/>
        </w:rPr>
        <w:t>空域使用</w:t>
      </w:r>
      <w:r>
        <w:t>应按照《无人驾驶航空器飞行管理暂行条例》的规定，向空中交通管理机构提出飞行活动申请</w:t>
      </w:r>
      <w:r>
        <w:rPr>
          <w:rFonts w:hint="eastAsia"/>
        </w:rPr>
        <w:t>。空域使用应符合</w:t>
      </w:r>
      <w:r>
        <w:t>《民用航空使用空域办法》</w:t>
      </w:r>
      <w:r>
        <w:rPr>
          <w:rFonts w:hint="eastAsia"/>
        </w:rPr>
        <w:t>的规定。</w:t>
      </w:r>
    </w:p>
    <w:p w14:paraId="18DA7868">
      <w:pPr>
        <w:pStyle w:val="32"/>
        <w:ind w:firstLine="0" w:firstLineChars="0"/>
        <w:rPr>
          <w:rFonts w:hint="eastAsia"/>
        </w:rPr>
      </w:pPr>
      <w:bookmarkStart w:id="219" w:name="_Toc228824536"/>
      <w:bookmarkStart w:id="220" w:name="_Toc228825832"/>
      <w:bookmarkStart w:id="221" w:name="_Toc228825699"/>
      <w:r>
        <w:t>4.1.4 飞行作业</w:t>
      </w:r>
      <w:bookmarkEnd w:id="219"/>
      <w:bookmarkEnd w:id="220"/>
      <w:bookmarkEnd w:id="221"/>
    </w:p>
    <w:p w14:paraId="36BDD3C9">
      <w:pPr>
        <w:pStyle w:val="32"/>
        <w:ind w:firstLine="420"/>
        <w:rPr>
          <w:rFonts w:hint="eastAsia"/>
        </w:rPr>
      </w:pPr>
      <w:r>
        <w:t>无人</w:t>
      </w:r>
      <w:r>
        <w:rPr>
          <w:rFonts w:hint="eastAsia"/>
        </w:rPr>
        <w:t>机船上</w:t>
      </w:r>
      <w:r>
        <w:t>作业</w:t>
      </w:r>
      <w:r>
        <w:rPr>
          <w:rFonts w:hint="eastAsia"/>
        </w:rPr>
        <w:t>的</w:t>
      </w:r>
      <w:r>
        <w:t>流程</w:t>
      </w:r>
      <w:r>
        <w:rPr>
          <w:rFonts w:hint="eastAsia"/>
        </w:rPr>
        <w:t>应符合</w:t>
      </w:r>
      <w:r>
        <w:t>MH/T 1069-2018</w:t>
      </w:r>
      <w:r>
        <w:rPr>
          <w:rFonts w:hint="eastAsia"/>
        </w:rPr>
        <w:t>以及</w:t>
      </w:r>
      <w:r>
        <w:t>相关</w:t>
      </w:r>
      <w:r>
        <w:rPr>
          <w:rFonts w:hint="eastAsia"/>
        </w:rPr>
        <w:t>品牌型号</w:t>
      </w:r>
      <w:r>
        <w:t>无人</w:t>
      </w:r>
      <w:r>
        <w:rPr>
          <w:rFonts w:hint="eastAsia"/>
        </w:rPr>
        <w:t>机</w:t>
      </w:r>
      <w:r>
        <w:t>使用说明书</w:t>
      </w:r>
      <w:r>
        <w:rPr>
          <w:rFonts w:hint="eastAsia"/>
        </w:rPr>
        <w:t>的要求。</w:t>
      </w:r>
    </w:p>
    <w:p w14:paraId="58AB7B63">
      <w:pPr>
        <w:pStyle w:val="38"/>
      </w:pPr>
      <w:bookmarkStart w:id="222" w:name="_Toc228826454"/>
      <w:bookmarkStart w:id="223" w:name="_Toc228825833"/>
      <w:bookmarkStart w:id="224" w:name="_Toc228825700"/>
      <w:bookmarkStart w:id="225" w:name="_Toc122512924"/>
      <w:bookmarkStart w:id="226" w:name="_Toc228826580"/>
      <w:bookmarkStart w:id="227" w:name="_Toc228824537"/>
      <w:r>
        <w:rPr>
          <w:rFonts w:hint="eastAsia"/>
        </w:rPr>
        <w:t>4.2 无人机系统要求</w:t>
      </w:r>
      <w:bookmarkEnd w:id="222"/>
      <w:bookmarkEnd w:id="223"/>
      <w:bookmarkEnd w:id="224"/>
      <w:bookmarkEnd w:id="225"/>
      <w:bookmarkEnd w:id="226"/>
      <w:bookmarkEnd w:id="227"/>
    </w:p>
    <w:p w14:paraId="6AD7C8F6">
      <w:pPr>
        <w:pStyle w:val="32"/>
        <w:ind w:firstLine="0" w:firstLineChars="0"/>
        <w:rPr>
          <w:rFonts w:hint="eastAsia"/>
        </w:rPr>
      </w:pPr>
      <w:bookmarkStart w:id="228" w:name="_Toc228825701"/>
      <w:bookmarkStart w:id="229" w:name="_Toc228824538"/>
      <w:bookmarkStart w:id="230" w:name="_Toc228825834"/>
      <w:r>
        <w:t>4.2.1 飞行性能与环境适应性</w:t>
      </w:r>
      <w:bookmarkEnd w:id="228"/>
      <w:bookmarkEnd w:id="229"/>
      <w:bookmarkEnd w:id="230"/>
    </w:p>
    <w:p w14:paraId="271B239D">
      <w:pPr>
        <w:pStyle w:val="32"/>
        <w:ind w:firstLine="0" w:firstLineChars="0"/>
        <w:rPr>
          <w:rFonts w:hint="eastAsia"/>
        </w:rPr>
      </w:pPr>
      <w:r>
        <w:t>4.2.1.1 起降能力</w:t>
      </w:r>
    </w:p>
    <w:p w14:paraId="7ACACEE3">
      <w:pPr>
        <w:pStyle w:val="32"/>
        <w:ind w:firstLine="420"/>
        <w:rPr>
          <w:rFonts w:hint="eastAsia"/>
        </w:rPr>
      </w:pPr>
      <w:r>
        <w:t>无人</w:t>
      </w:r>
      <w:r>
        <w:rPr>
          <w:rFonts w:hint="eastAsia"/>
        </w:rPr>
        <w:t>机</w:t>
      </w:r>
      <w:r>
        <w:t>应</w:t>
      </w:r>
      <w:r>
        <w:rPr>
          <w:rFonts w:hint="eastAsia"/>
        </w:rPr>
        <w:t>满足</w:t>
      </w:r>
      <w:r>
        <w:t>在船舶</w:t>
      </w:r>
      <w:r>
        <w:rPr>
          <w:rFonts w:hint="eastAsia"/>
        </w:rPr>
        <w:t>起降区内</w:t>
      </w:r>
      <w:r>
        <w:t>起降所需条件</w:t>
      </w:r>
      <w:r>
        <w:rPr>
          <w:rFonts w:hint="eastAsia"/>
        </w:rPr>
        <w:t>，</w:t>
      </w:r>
      <w:r>
        <w:t>宜具备在船舶以较低航速（如</w:t>
      </w:r>
      <w:r>
        <w:rPr>
          <w:rFonts w:hint="eastAsia"/>
        </w:rPr>
        <w:t>航速不大于</w:t>
      </w:r>
      <w:r>
        <w:t>10节）航行状态下自动起降的能力，具有不小于5m/s的垂直爬升/下降速率能力</w:t>
      </w:r>
      <w:r>
        <w:rPr>
          <w:rFonts w:hint="eastAsia"/>
        </w:rPr>
        <w:t>。</w:t>
      </w:r>
    </w:p>
    <w:p w14:paraId="3DD9FED1">
      <w:pPr>
        <w:pStyle w:val="32"/>
        <w:ind w:firstLine="0" w:firstLineChars="0"/>
        <w:rPr>
          <w:rFonts w:hint="eastAsia"/>
        </w:rPr>
      </w:pPr>
      <w:r>
        <w:rPr>
          <w:rFonts w:hint="eastAsia"/>
        </w:rPr>
        <w:t xml:space="preserve">4.2.1.2 </w:t>
      </w:r>
      <w:r>
        <w:t>环境耐受性</w:t>
      </w:r>
      <w:bookmarkStart w:id="231" w:name="OLE_LINK41"/>
    </w:p>
    <w:p w14:paraId="0A3930E3">
      <w:pPr>
        <w:pStyle w:val="32"/>
        <w:ind w:firstLine="420"/>
        <w:rPr>
          <w:rFonts w:hint="eastAsia"/>
        </w:rPr>
      </w:pPr>
      <w:bookmarkStart w:id="232" w:name="OLE_LINK7"/>
      <w:r>
        <w:rPr>
          <w:rFonts w:hint="eastAsia"/>
        </w:rPr>
        <w:t>无人机系统应能承受贮存、运输和工作时所规定的各种环境条件，应满足</w:t>
      </w:r>
      <w:r>
        <w:t>GB/T 38924（所有部分）</w:t>
      </w:r>
      <w:r>
        <w:rPr>
          <w:rFonts w:hint="eastAsia"/>
        </w:rPr>
        <w:t>、</w:t>
      </w:r>
      <w:r>
        <w:t>HB 8736</w:t>
      </w:r>
      <w:r>
        <w:rPr>
          <w:rFonts w:hint="eastAsia"/>
        </w:rPr>
        <w:t>的要求。</w:t>
      </w:r>
    </w:p>
    <w:p w14:paraId="6ABE94CF">
      <w:pPr>
        <w:pStyle w:val="32"/>
        <w:ind w:firstLine="420"/>
        <w:rPr>
          <w:rFonts w:hint="eastAsia"/>
        </w:rPr>
      </w:pPr>
      <w:r>
        <w:rPr>
          <w:rFonts w:hint="eastAsia"/>
        </w:rPr>
        <w:t>a）</w:t>
      </w:r>
      <w:bookmarkEnd w:id="232"/>
      <w:r>
        <w:rPr>
          <w:rFonts w:hint="eastAsia"/>
        </w:rPr>
        <w:t>抗风能力。</w:t>
      </w:r>
      <w:r>
        <w:t>无人机抗风能力应不低于制造商规定的标称值，且在起飞降落阶段，建议风力不宜超过制造商规定抗风等级的上限；对于中型以上无人机，其巡航阶段抗风能力宜不低于6级（10.8~13.8 m/s）</w:t>
      </w:r>
      <w:r>
        <w:rPr>
          <w:rFonts w:hint="eastAsia"/>
        </w:rPr>
        <w:t>。</w:t>
      </w:r>
      <w:r>
        <w:t>抗风性应符合GB/T 38930的标准。</w:t>
      </w:r>
    </w:p>
    <w:p w14:paraId="10DCC125">
      <w:pPr>
        <w:pStyle w:val="32"/>
        <w:ind w:firstLine="420"/>
        <w:rPr>
          <w:rFonts w:hint="eastAsia"/>
        </w:rPr>
      </w:pPr>
      <w:r>
        <w:rPr>
          <w:rFonts w:hint="eastAsia"/>
        </w:rPr>
        <w:t>b) 海况适应能力。无人机系统宜</w:t>
      </w:r>
      <w:r>
        <w:t>具备在</w:t>
      </w:r>
      <w:r>
        <w:rPr>
          <w:rFonts w:hint="eastAsia"/>
        </w:rPr>
        <w:t>4</w:t>
      </w:r>
      <w:r>
        <w:t>级海况（</w:t>
      </w:r>
      <w:r>
        <w:rPr>
          <w:rFonts w:hint="eastAsia"/>
        </w:rPr>
        <w:t>中浪、有效波波高</w:t>
      </w:r>
      <w:r>
        <w:t>约</w:t>
      </w:r>
      <w:r>
        <w:rPr>
          <w:rFonts w:hint="eastAsia"/>
        </w:rPr>
        <w:t>1.</w:t>
      </w:r>
      <w:r>
        <w:t>25m-</w:t>
      </w:r>
      <w:r>
        <w:rPr>
          <w:rFonts w:hint="eastAsia"/>
        </w:rPr>
        <w:t>2.5</w:t>
      </w:r>
      <w:r>
        <w:t>m）下执行任务的能力</w:t>
      </w:r>
      <w:r>
        <w:rPr>
          <w:rFonts w:hint="eastAsia"/>
        </w:rPr>
        <w:t>，</w:t>
      </w:r>
      <w:r>
        <w:t>能适应海上的极端温差</w:t>
      </w:r>
      <w:r>
        <w:rPr>
          <w:rFonts w:hint="eastAsia"/>
        </w:rPr>
        <w:t>，</w:t>
      </w:r>
      <w:r>
        <w:t>全部传感器均在-20℃至</w:t>
      </w:r>
      <w:r>
        <w:rPr>
          <w:rFonts w:hint="eastAsia"/>
        </w:rPr>
        <w:t>5</w:t>
      </w:r>
      <w:r>
        <w:t>0℃范围内都进行温度补偿</w:t>
      </w:r>
      <w:r>
        <w:rPr>
          <w:rFonts w:hint="eastAsia"/>
        </w:rPr>
        <w:t>,</w:t>
      </w:r>
      <w:r>
        <w:t>在-20℃至+50℃宽泛的温度</w:t>
      </w:r>
      <w:r>
        <w:rPr>
          <w:rFonts w:hint="eastAsia"/>
        </w:rPr>
        <w:t>范围内</w:t>
      </w:r>
      <w:r>
        <w:t>和高湿度环境中稳定工作</w:t>
      </w:r>
      <w:r>
        <w:rPr>
          <w:rFonts w:hint="eastAsia"/>
        </w:rPr>
        <w:t>。</w:t>
      </w:r>
    </w:p>
    <w:p w14:paraId="095D4751">
      <w:pPr>
        <w:pStyle w:val="32"/>
        <w:ind w:firstLine="420"/>
        <w:rPr>
          <w:rFonts w:hint="eastAsia"/>
        </w:rPr>
      </w:pPr>
      <w:r>
        <w:rPr>
          <w:rFonts w:hint="eastAsia"/>
        </w:rPr>
        <w:t>c)</w:t>
      </w:r>
      <w:r>
        <w:t xml:space="preserve"> 防水防尘</w:t>
      </w:r>
      <w:r>
        <w:rPr>
          <w:rFonts w:hint="eastAsia"/>
        </w:rPr>
        <w:t>能力。</w:t>
      </w:r>
      <w:r>
        <w:t>无人</w:t>
      </w:r>
      <w:r>
        <w:rPr>
          <w:rFonts w:hint="eastAsia"/>
        </w:rPr>
        <w:t>机系统</w:t>
      </w:r>
      <w:bookmarkEnd w:id="231"/>
      <w:r>
        <w:rPr>
          <w:rFonts w:hint="eastAsia"/>
        </w:rPr>
        <w:t>应</w:t>
      </w:r>
      <w:r>
        <w:t>具备不低于IP</w:t>
      </w:r>
      <w:r>
        <w:rPr>
          <w:rFonts w:hint="eastAsia"/>
        </w:rPr>
        <w:t>54</w:t>
      </w:r>
      <w:r>
        <w:t>的防护等级</w:t>
      </w:r>
      <w:r>
        <w:rPr>
          <w:rFonts w:hint="eastAsia"/>
        </w:rPr>
        <w:t>，</w:t>
      </w:r>
      <w:r>
        <w:t>无人机表面涂有防水漆层，整机进行密封处理，空速管</w:t>
      </w:r>
      <w:r>
        <w:rPr>
          <w:rFonts w:hint="eastAsia"/>
        </w:rPr>
        <w:t>具有</w:t>
      </w:r>
      <w:r>
        <w:t>加热排水</w:t>
      </w:r>
      <w:r>
        <w:rPr>
          <w:rFonts w:hint="eastAsia"/>
        </w:rPr>
        <w:t>功能</w:t>
      </w:r>
      <w:r>
        <w:t>，能够在小雨、海上薄雾等天气条件下正常作业。应符合GB/T 38924</w:t>
      </w:r>
      <w:r>
        <w:rPr>
          <w:rFonts w:hint="eastAsia"/>
        </w:rPr>
        <w:t>.9、</w:t>
      </w:r>
      <w:r>
        <w:t>GB/T 38924</w:t>
      </w:r>
      <w:r>
        <w:rPr>
          <w:rFonts w:hint="eastAsia"/>
        </w:rPr>
        <w:t>.10、</w:t>
      </w:r>
      <w:r>
        <w:t>的</w:t>
      </w:r>
      <w:r>
        <w:rPr>
          <w:rFonts w:hint="eastAsia"/>
        </w:rPr>
        <w:t>相关要求</w:t>
      </w:r>
      <w:r>
        <w:t>。</w:t>
      </w:r>
    </w:p>
    <w:p w14:paraId="7C7D54C6">
      <w:pPr>
        <w:pStyle w:val="32"/>
        <w:ind w:firstLine="420"/>
        <w:rPr>
          <w:rFonts w:hint="eastAsia"/>
        </w:rPr>
      </w:pPr>
      <w:r>
        <w:rPr>
          <w:rFonts w:hint="eastAsia"/>
        </w:rPr>
        <w:t xml:space="preserve">d) </w:t>
      </w:r>
      <w:r>
        <w:t>抗腐蚀</w:t>
      </w:r>
      <w:r>
        <w:rPr>
          <w:rFonts w:hint="eastAsia"/>
        </w:rPr>
        <w:t>能力。</w:t>
      </w:r>
      <w:r>
        <w:t>无人</w:t>
      </w:r>
      <w:r>
        <w:rPr>
          <w:rFonts w:hint="eastAsia"/>
        </w:rPr>
        <w:t>机</w:t>
      </w:r>
      <w:r>
        <w:t>机体结构、关键连接件、电机、伺服舵机以及内部的电子元器件都必须经过特殊的防腐蚀处理</w:t>
      </w:r>
      <w:r>
        <w:rPr>
          <w:rFonts w:hint="eastAsia"/>
        </w:rPr>
        <w:t>。</w:t>
      </w:r>
      <w:r>
        <w:t>无人</w:t>
      </w:r>
      <w:r>
        <w:rPr>
          <w:rFonts w:hint="eastAsia"/>
        </w:rPr>
        <w:t>机</w:t>
      </w:r>
      <w:r>
        <w:t>表面必须采用防盐雾腐蚀材料，电子设备需要密封防潮，关键部件应具备防霉菌能力</w:t>
      </w:r>
      <w:r>
        <w:rPr>
          <w:rFonts w:hint="eastAsia"/>
        </w:rPr>
        <w:t>，</w:t>
      </w:r>
      <w:r>
        <w:t>​</w:t>
      </w:r>
      <w:r>
        <w:rPr>
          <w:rFonts w:hint="eastAsia"/>
        </w:rPr>
        <w:t>实现</w:t>
      </w:r>
      <w:r>
        <w:t>防潮、防盐雾、防霉菌</w:t>
      </w:r>
      <w:r>
        <w:rPr>
          <w:rFonts w:hint="eastAsia"/>
        </w:rPr>
        <w:t>。</w:t>
      </w:r>
      <w:r>
        <w:t>应符合GB/T 38924</w:t>
      </w:r>
      <w:r>
        <w:rPr>
          <w:rFonts w:hint="eastAsia"/>
        </w:rPr>
        <w:t>.8、</w:t>
      </w:r>
      <w:r>
        <w:t>GB/T 38924</w:t>
      </w:r>
      <w:r>
        <w:rPr>
          <w:rFonts w:hint="eastAsia"/>
        </w:rPr>
        <w:t>.11、</w:t>
      </w:r>
      <w:r>
        <w:t>GB/T 2423.17的</w:t>
      </w:r>
      <w:r>
        <w:rPr>
          <w:rFonts w:hint="eastAsia"/>
        </w:rPr>
        <w:t>相关要求</w:t>
      </w:r>
      <w:r>
        <w:t>。</w:t>
      </w:r>
    </w:p>
    <w:p w14:paraId="5040C73F">
      <w:pPr>
        <w:pStyle w:val="32"/>
        <w:ind w:firstLine="420"/>
        <w:rPr>
          <w:rFonts w:hint="eastAsia"/>
        </w:rPr>
      </w:pPr>
      <w:r>
        <w:rPr>
          <w:rFonts w:hint="eastAsia"/>
        </w:rPr>
        <w:t xml:space="preserve">e) </w:t>
      </w:r>
      <w:r>
        <w:t>电磁兼容性</w:t>
      </w:r>
      <w:r>
        <w:rPr>
          <w:rFonts w:hint="eastAsia"/>
        </w:rPr>
        <w:t>。</w:t>
      </w:r>
      <w:r>
        <w:t>无人</w:t>
      </w:r>
      <w:r>
        <w:rPr>
          <w:rFonts w:hint="eastAsia"/>
        </w:rPr>
        <w:t>机</w:t>
      </w:r>
      <w:r>
        <w:t>系统</w:t>
      </w:r>
      <w:r>
        <w:rPr>
          <w:rFonts w:hint="eastAsia"/>
        </w:rPr>
        <w:t>应</w:t>
      </w:r>
      <w:r>
        <w:t>能够在船舶复杂的电磁环境中</w:t>
      </w:r>
      <w:r>
        <w:rPr>
          <w:rFonts w:hint="eastAsia"/>
        </w:rPr>
        <w:t>正常</w:t>
      </w:r>
      <w:r>
        <w:t>稳定工作，</w:t>
      </w:r>
      <w:r>
        <w:rPr>
          <w:rFonts w:hint="eastAsia"/>
        </w:rPr>
        <w:t>通常</w:t>
      </w:r>
      <w:r>
        <w:t>满足400MHz-2000MHz辐射抗扰度</w:t>
      </w:r>
      <w:r>
        <w:rPr>
          <w:rFonts w:hint="eastAsia"/>
        </w:rPr>
        <w:t>，</w:t>
      </w:r>
      <w:r>
        <w:t>不受船载雷达、大功率通信设备、导航系统等的干扰，同时自身不对船舶设备</w:t>
      </w:r>
      <w:r>
        <w:rPr>
          <w:rFonts w:hint="eastAsia"/>
        </w:rPr>
        <w:t>等外部环境造成不能承受的电磁</w:t>
      </w:r>
      <w:r>
        <w:t>干扰。无人</w:t>
      </w:r>
      <w:r>
        <w:rPr>
          <w:rFonts w:hint="eastAsia"/>
        </w:rPr>
        <w:t>机</w:t>
      </w:r>
      <w:r>
        <w:t>系统电磁兼容性应符合GB 42590、GB/T 38909等</w:t>
      </w:r>
      <w:bookmarkStart w:id="233" w:name="OLE_LINK25"/>
      <w:r>
        <w:t>相关要求</w:t>
      </w:r>
      <w:bookmarkEnd w:id="233"/>
      <w:r>
        <w:rPr>
          <w:rFonts w:hint="eastAsia"/>
        </w:rPr>
        <w:t>，</w:t>
      </w:r>
      <w:r>
        <w:t>系统通过</w:t>
      </w:r>
      <w:r>
        <w:rPr>
          <w:rFonts w:hint="eastAsia"/>
        </w:rPr>
        <w:t>的</w:t>
      </w:r>
      <w:r>
        <w:t>电磁兼容性测试，</w:t>
      </w:r>
      <w:bookmarkStart w:id="234" w:name="OLE_LINK8"/>
      <w:r>
        <w:rPr>
          <w:rFonts w:hint="eastAsia"/>
        </w:rPr>
        <w:t>应符合</w:t>
      </w:r>
      <w:r>
        <w:t>GB/T 17626</w:t>
      </w:r>
      <w:bookmarkEnd w:id="234"/>
      <w:r>
        <w:rPr>
          <w:rFonts w:hint="eastAsia"/>
        </w:rPr>
        <w:t>的相关要求。</w:t>
      </w:r>
    </w:p>
    <w:p w14:paraId="768B19D3">
      <w:pPr>
        <w:pStyle w:val="32"/>
        <w:ind w:firstLine="0" w:firstLineChars="0"/>
        <w:rPr>
          <w:rFonts w:hint="eastAsia"/>
        </w:rPr>
      </w:pPr>
      <w:bookmarkStart w:id="235" w:name="_Toc228825702"/>
      <w:bookmarkStart w:id="236" w:name="_Toc228825835"/>
      <w:bookmarkStart w:id="237" w:name="_Toc228824539"/>
      <w:r>
        <w:t>4.2.2 安全性和可靠性保障</w:t>
      </w:r>
      <w:bookmarkEnd w:id="235"/>
      <w:bookmarkEnd w:id="236"/>
      <w:bookmarkEnd w:id="237"/>
    </w:p>
    <w:p w14:paraId="100D650B">
      <w:pPr>
        <w:pStyle w:val="32"/>
        <w:ind w:firstLine="420"/>
        <w:rPr>
          <w:rFonts w:hint="eastAsia"/>
        </w:rPr>
      </w:pPr>
      <w:bookmarkStart w:id="238" w:name="OLE_LINK9"/>
      <w:r>
        <w:t>无人机系统</w:t>
      </w:r>
      <w:r>
        <w:rPr>
          <w:rFonts w:hint="eastAsia"/>
        </w:rPr>
        <w:t>安全性</w:t>
      </w:r>
      <w:r>
        <w:t>应符合GB 42590的相关要求</w:t>
      </w:r>
      <w:r>
        <w:rPr>
          <w:rFonts w:hint="eastAsia"/>
        </w:rPr>
        <w:t>。</w:t>
      </w:r>
    </w:p>
    <w:p w14:paraId="367F1548">
      <w:pPr>
        <w:pStyle w:val="32"/>
        <w:ind w:firstLine="0" w:firstLineChars="0"/>
        <w:rPr>
          <w:rFonts w:hint="eastAsia"/>
        </w:rPr>
      </w:pPr>
      <w:r>
        <w:rPr>
          <w:rFonts w:hint="eastAsia"/>
        </w:rPr>
        <w:t>4.2.2.1</w:t>
      </w:r>
      <w:bookmarkEnd w:id="238"/>
      <w:r>
        <w:rPr>
          <w:rFonts w:hint="eastAsia"/>
        </w:rPr>
        <w:t xml:space="preserve"> </w:t>
      </w:r>
      <w:r>
        <w:t>动力能源系统</w:t>
      </w:r>
    </w:p>
    <w:p w14:paraId="0A00CBE8">
      <w:pPr>
        <w:pStyle w:val="32"/>
        <w:ind w:firstLine="420"/>
        <w:rPr>
          <w:rFonts w:hint="eastAsia"/>
        </w:rPr>
      </w:pPr>
      <w:r>
        <w:t>无人机配备智能电池，实现低温环境下自动加热、电池电量显示和电池管理</w:t>
      </w:r>
      <w:r>
        <w:rPr>
          <w:rFonts w:hint="eastAsia"/>
        </w:rPr>
        <w:t>，</w:t>
      </w:r>
      <w:r>
        <w:t>具有防过充、过放、短路等功能，安全性应符合GB 42590</w:t>
      </w:r>
      <w:r>
        <w:rPr>
          <w:rFonts w:hint="eastAsia"/>
        </w:rPr>
        <w:t>和</w:t>
      </w:r>
      <w:r>
        <w:t xml:space="preserve">GB/T 46460等相关要求。 </w:t>
      </w:r>
    </w:p>
    <w:p w14:paraId="5A1495B7">
      <w:pPr>
        <w:pStyle w:val="32"/>
        <w:ind w:firstLine="0" w:firstLineChars="0"/>
        <w:rPr>
          <w:rFonts w:hint="eastAsia"/>
        </w:rPr>
      </w:pPr>
      <w:r>
        <w:t>4.2.</w:t>
      </w:r>
      <w:r>
        <w:rPr>
          <w:rFonts w:hint="eastAsia"/>
        </w:rPr>
        <w:t>2.</w:t>
      </w:r>
      <w:r>
        <w:t>2 数据链</w:t>
      </w:r>
    </w:p>
    <w:p w14:paraId="21B23F78">
      <w:pPr>
        <w:pStyle w:val="32"/>
        <w:ind w:firstLine="420"/>
        <w:rPr>
          <w:rFonts w:hint="eastAsia"/>
        </w:rPr>
      </w:pPr>
      <w:r>
        <w:t>无人机系统配备高带宽、远距离、抗干扰能力强的无线数据链路</w:t>
      </w:r>
      <w:r>
        <w:rPr>
          <w:rFonts w:hint="eastAsia"/>
        </w:rPr>
        <w:t>。</w:t>
      </w:r>
      <w:r>
        <w:t>数据链的通讯距离应满足作业任务需求</w:t>
      </w:r>
      <w:r>
        <w:rPr>
          <w:rFonts w:hint="eastAsia"/>
        </w:rPr>
        <w:t>，</w:t>
      </w:r>
      <w:r>
        <w:t>对于远海作业任务，数据链的通讯距离应至少达到30公里以上，能够实时传输高清视频流和遥测数据，链路传输误码率不大于10⁻⁵。</w:t>
      </w:r>
    </w:p>
    <w:p w14:paraId="20A2B5B9">
      <w:pPr>
        <w:pStyle w:val="32"/>
        <w:ind w:firstLine="0" w:firstLineChars="0"/>
        <w:rPr>
          <w:rFonts w:hint="eastAsia"/>
        </w:rPr>
      </w:pPr>
      <w:r>
        <w:t>4.2.</w:t>
      </w:r>
      <w:r>
        <w:rPr>
          <w:rFonts w:hint="eastAsia"/>
        </w:rPr>
        <w:t>2</w:t>
      </w:r>
      <w:r>
        <w:t>.</w:t>
      </w:r>
      <w:r>
        <w:rPr>
          <w:rFonts w:hint="eastAsia"/>
        </w:rPr>
        <w:t>3 地面指挥控制系统</w:t>
      </w:r>
    </w:p>
    <w:p w14:paraId="7E15621E">
      <w:pPr>
        <w:pStyle w:val="32"/>
        <w:ind w:firstLine="420"/>
        <w:rPr>
          <w:rFonts w:hint="eastAsia"/>
        </w:rPr>
      </w:pPr>
      <w:r>
        <w:t xml:space="preserve">地面指控系统作为数据收发终端，集成高精度差分、电台、图传、wifi模块、 电源等，可实现空地通信。拥有长时间的续航能力，在复杂或“三断”（断路、断电、断网）场景下，作为地面指挥节点，支撑通信保障。 </w:t>
      </w:r>
      <w:r>
        <w:rPr>
          <w:rFonts w:hint="eastAsia"/>
        </w:rPr>
        <w:t>地面</w:t>
      </w:r>
      <w:r>
        <w:t>基站具有内置长距离宽带链路且支持固定、移动及打点器功能的多功能综合式基站。支持GNSS实时定位、支持窄带数传数据通信、支持扩展宽带图传数据接收、支持内置IMU模组以及基站自身的位姿解算功能</w:t>
      </w:r>
      <w:r>
        <w:rPr>
          <w:rFonts w:hint="eastAsia"/>
        </w:rPr>
        <w:t>。</w:t>
      </w:r>
    </w:p>
    <w:p w14:paraId="735D94AC">
      <w:pPr>
        <w:pStyle w:val="32"/>
        <w:ind w:firstLine="0" w:firstLineChars="0"/>
        <w:rPr>
          <w:rFonts w:hint="eastAsia"/>
        </w:rPr>
      </w:pPr>
      <w:r>
        <w:t>4.2.</w:t>
      </w:r>
      <w:r>
        <w:rPr>
          <w:rFonts w:hint="eastAsia"/>
        </w:rPr>
        <w:t>2</w:t>
      </w:r>
      <w:r>
        <w:t>.</w:t>
      </w:r>
      <w:r>
        <w:rPr>
          <w:rFonts w:hint="eastAsia"/>
        </w:rPr>
        <w:t>4 飞行控制系统</w:t>
      </w:r>
    </w:p>
    <w:p w14:paraId="26C4D53E">
      <w:pPr>
        <w:pStyle w:val="32"/>
        <w:ind w:firstLine="420"/>
        <w:rPr>
          <w:rFonts w:hint="eastAsia"/>
        </w:rPr>
      </w:pPr>
      <w:r>
        <w:rPr>
          <w:rFonts w:hint="eastAsia"/>
        </w:rPr>
        <w:t>a）大容量存储。</w:t>
      </w:r>
      <w:r>
        <w:t>飞控系统应具备大容量数据记录和存储功能，以防数据链中断时信息丢失。</w:t>
      </w:r>
    </w:p>
    <w:p w14:paraId="63A12820">
      <w:pPr>
        <w:pStyle w:val="32"/>
        <w:ind w:firstLine="420"/>
        <w:rPr>
          <w:rFonts w:hint="eastAsia"/>
        </w:rPr>
      </w:pPr>
      <w:r>
        <w:rPr>
          <w:rFonts w:hint="eastAsia"/>
        </w:rPr>
        <w:t xml:space="preserve">b) </w:t>
      </w:r>
      <w:r>
        <w:t>故障检测与异常自动处理</w:t>
      </w:r>
      <w:r>
        <w:rPr>
          <w:rFonts w:hint="eastAsia"/>
        </w:rPr>
        <w:t>。在</w:t>
      </w:r>
      <w:r>
        <w:t>链路中断、</w:t>
      </w:r>
      <w:r>
        <w:rPr>
          <w:rFonts w:hint="eastAsia"/>
        </w:rPr>
        <w:t>信号丢失、低电压等情况下，自主</w:t>
      </w:r>
      <w:r>
        <w:t>控制</w:t>
      </w:r>
      <w:r>
        <w:rPr>
          <w:rFonts w:hint="eastAsia"/>
        </w:rPr>
        <w:t>无人机</w:t>
      </w:r>
      <w:r>
        <w:t>悬停、返航或迫降。</w:t>
      </w:r>
    </w:p>
    <w:p w14:paraId="6599CDDD">
      <w:pPr>
        <w:pStyle w:val="32"/>
        <w:ind w:firstLine="420"/>
        <w:rPr>
          <w:rFonts w:hint="eastAsia"/>
        </w:rPr>
      </w:pPr>
      <w:r>
        <w:rPr>
          <w:rFonts w:hint="eastAsia"/>
        </w:rPr>
        <w:t>c)</w:t>
      </w:r>
      <w:r>
        <w:t xml:space="preserve"> 抗过载能力</w:t>
      </w:r>
      <w:r>
        <w:rPr>
          <w:rFonts w:hint="eastAsia"/>
        </w:rPr>
        <w:t>。</w:t>
      </w:r>
      <w:r>
        <w:t>飞控系统应具备应对海上突发气流的能力，其抗过载能力指标由</w:t>
      </w:r>
      <w:r>
        <w:rPr>
          <w:rFonts w:hint="eastAsia"/>
        </w:rPr>
        <w:t>其</w:t>
      </w:r>
      <w:r>
        <w:t>制造商规定。</w:t>
      </w:r>
    </w:p>
    <w:p w14:paraId="526303CF">
      <w:pPr>
        <w:pStyle w:val="32"/>
        <w:ind w:firstLine="420"/>
        <w:rPr>
          <w:rFonts w:hint="eastAsia"/>
        </w:rPr>
      </w:pPr>
      <w:r>
        <w:rPr>
          <w:rFonts w:hint="eastAsia"/>
        </w:rPr>
        <w:t>d</w:t>
      </w:r>
      <w:r>
        <w:t>）多重冗余设计。关键子系统应采用冗余设计，如双GPS、双磁罗盘、多套IMU（惯性测量单元）、冗余电源和舵机等。</w:t>
      </w:r>
    </w:p>
    <w:p w14:paraId="7D4BAD7D">
      <w:pPr>
        <w:pStyle w:val="32"/>
        <w:ind w:firstLine="0" w:firstLineChars="0"/>
        <w:rPr>
          <w:rFonts w:hint="eastAsia"/>
        </w:rPr>
      </w:pPr>
      <w:r>
        <w:t>4.2.</w:t>
      </w:r>
      <w:r>
        <w:rPr>
          <w:rFonts w:hint="eastAsia"/>
        </w:rPr>
        <w:t>2</w:t>
      </w:r>
      <w:r>
        <w:t>.</w:t>
      </w:r>
      <w:r>
        <w:rPr>
          <w:rFonts w:hint="eastAsia"/>
        </w:rPr>
        <w:t>5</w:t>
      </w:r>
      <w:r>
        <w:t xml:space="preserve"> </w:t>
      </w:r>
      <w:r>
        <w:rPr>
          <w:rFonts w:hint="eastAsia"/>
        </w:rPr>
        <w:t>感知与避让系统</w:t>
      </w:r>
    </w:p>
    <w:p w14:paraId="41AD4298">
      <w:pPr>
        <w:pStyle w:val="32"/>
        <w:ind w:firstLine="420"/>
        <w:rPr>
          <w:rFonts w:hint="eastAsia"/>
        </w:rPr>
      </w:pPr>
      <w:bookmarkStart w:id="239" w:name="OLE_LINK13"/>
      <w:r>
        <w:t>a）自主动态着舰系统。系统集成先进的感知与控制算法，按照船舶GPS坐标变化，无人机系统具备动态航点更新能力，能够跟随母船的运动实时调整返航点，实现在移动和摇摆的甲板上自主、精准、安全着舰。内置船舶运动预测模型（如卡尔曼滤波），根据历史运动数据预测甲板在未来几秒内的位置和姿态。飞控系统基于此预测进行运动补偿，主动调整无人驾驶航空器的飞行轨迹，使其“追随”并最终与甲板实现同步，在船舶摇晃的“平稳窗口期”完成接地。</w:t>
      </w:r>
    </w:p>
    <w:p w14:paraId="38431A92">
      <w:pPr>
        <w:pStyle w:val="32"/>
        <w:ind w:firstLine="420"/>
        <w:rPr>
          <w:rFonts w:hint="eastAsia"/>
        </w:rPr>
      </w:pPr>
      <w:r>
        <w:rPr>
          <w:rFonts w:hint="eastAsia"/>
        </w:rPr>
        <w:t>b</w:t>
      </w:r>
      <w:r>
        <w:t xml:space="preserve">) </w:t>
      </w:r>
      <w:bookmarkEnd w:id="239"/>
      <w:r>
        <w:t>视觉引导与多传感器融合感知。</w:t>
      </w:r>
      <w:r>
        <w:rPr>
          <w:rFonts w:hint="eastAsia"/>
        </w:rPr>
        <w:t>具备</w:t>
      </w:r>
      <w:r>
        <w:t>高帧率、高动态范围的视觉传感器（可见光或红外）来识别和跟踪甲板上的预设标识（如“H”标记或专用灯光图案）。同时，融合无人机自身的IMU、GPS-RTK和雷达高度计数据，以及通过数据链从船舶获取的运动数据，精确解算出无人机与着舰点的相对位置、相对速度和相对姿态。</w:t>
      </w:r>
    </w:p>
    <w:p w14:paraId="3175E8C8">
      <w:pPr>
        <w:pStyle w:val="32"/>
        <w:ind w:firstLine="420"/>
        <w:rPr>
          <w:rFonts w:hint="eastAsia"/>
        </w:rPr>
      </w:pPr>
      <w:r>
        <w:rPr>
          <w:rFonts w:hint="eastAsia"/>
        </w:rPr>
        <w:t>c）主动避障。</w:t>
      </w:r>
      <w:r>
        <w:t>无人机安装警示灯，便于附近被发现并识别。</w:t>
      </w:r>
      <w:r>
        <w:rPr>
          <w:rFonts w:hint="eastAsia"/>
        </w:rPr>
        <w:t>具有</w:t>
      </w:r>
      <w:r>
        <w:t>前视</w:t>
      </w:r>
      <w:r>
        <w:rPr>
          <w:rFonts w:hint="eastAsia"/>
        </w:rPr>
        <w:t>和下视</w:t>
      </w:r>
      <w:r>
        <w:t>毫米波雷达</w:t>
      </w:r>
      <w:bookmarkStart w:id="240" w:name="OLE_LINK15"/>
      <w:r>
        <w:rPr>
          <w:rFonts w:hint="eastAsia"/>
        </w:rPr>
        <w:t>，</w:t>
      </w:r>
      <w:r>
        <w:t>探测</w:t>
      </w:r>
      <w:r>
        <w:rPr>
          <w:rFonts w:hint="eastAsia"/>
        </w:rPr>
        <w:t>无人机周围不小于200米</w:t>
      </w:r>
      <w:r>
        <w:t>范围内的障碍物，</w:t>
      </w:r>
      <w:bookmarkEnd w:id="240"/>
      <w:r>
        <w:rPr>
          <w:rFonts w:hint="eastAsia"/>
        </w:rPr>
        <w:t>无人机</w:t>
      </w:r>
      <w:r>
        <w:t>自动改变飞行路径</w:t>
      </w:r>
      <w:r>
        <w:rPr>
          <w:rFonts w:hint="eastAsia"/>
        </w:rPr>
        <w:t>或自动爬升</w:t>
      </w:r>
      <w:r>
        <w:t>，保障飞行安全。</w:t>
      </w:r>
      <w:r>
        <w:rPr>
          <w:rFonts w:hint="eastAsia"/>
        </w:rPr>
        <w:t>具有</w:t>
      </w:r>
      <w:r>
        <w:t>双目视觉避障系统</w:t>
      </w:r>
      <w:r>
        <w:rPr>
          <w:rFonts w:hint="eastAsia"/>
        </w:rPr>
        <w:t>，</w:t>
      </w:r>
      <w:r>
        <w:t>探测</w:t>
      </w:r>
      <w:r>
        <w:rPr>
          <w:rFonts w:hint="eastAsia"/>
        </w:rPr>
        <w:t>无人机</w:t>
      </w:r>
      <w:r>
        <w:t>下方</w:t>
      </w:r>
      <w:r>
        <w:rPr>
          <w:rFonts w:hint="eastAsia"/>
        </w:rPr>
        <w:t>不小于</w:t>
      </w:r>
      <w:r>
        <w:t>50</w:t>
      </w:r>
      <w:r>
        <w:rPr>
          <w:rFonts w:hint="eastAsia"/>
        </w:rPr>
        <w:t>米</w:t>
      </w:r>
      <w:r>
        <w:t>范围内的障碍物，在降落时可对降落点进行智能筛选，地形智能感知，避开危险降落点</w:t>
      </w:r>
      <w:r>
        <w:rPr>
          <w:rFonts w:hint="eastAsia"/>
        </w:rPr>
        <w:t>。具有</w:t>
      </w:r>
      <w:r>
        <w:t>自动相关监视广播系统</w:t>
      </w:r>
      <w:r>
        <w:rPr>
          <w:rFonts w:hint="eastAsia"/>
        </w:rPr>
        <w:t>，</w:t>
      </w:r>
      <w:r>
        <w:t>探测</w:t>
      </w:r>
      <w:r>
        <w:rPr>
          <w:rFonts w:hint="eastAsia"/>
        </w:rPr>
        <w:t>无人机周围100公里以上</w:t>
      </w:r>
      <w:r>
        <w:t>范围内其他搭载</w:t>
      </w:r>
      <w:r>
        <w:rPr>
          <w:rFonts w:hint="eastAsia"/>
        </w:rPr>
        <w:t>该系统</w:t>
      </w:r>
      <w:r>
        <w:t>的</w:t>
      </w:r>
      <w:r>
        <w:rPr>
          <w:rFonts w:hint="eastAsia"/>
        </w:rPr>
        <w:t>无人机</w:t>
      </w:r>
      <w:r>
        <w:t>飞行信息，并将</w:t>
      </w:r>
      <w:r>
        <w:rPr>
          <w:rFonts w:hint="eastAsia"/>
        </w:rPr>
        <w:t>无人机</w:t>
      </w:r>
      <w:r>
        <w:t>自身所在位置、高度、航向等信息进行比对</w:t>
      </w:r>
      <w:r>
        <w:rPr>
          <w:rFonts w:hint="eastAsia"/>
        </w:rPr>
        <w:t>，</w:t>
      </w:r>
      <w:r>
        <w:t>提前预警</w:t>
      </w:r>
      <w:r>
        <w:rPr>
          <w:rFonts w:hint="eastAsia"/>
        </w:rPr>
        <w:t>无人机</w:t>
      </w:r>
      <w:r>
        <w:t>接近</w:t>
      </w:r>
      <w:r>
        <w:rPr>
          <w:rFonts w:hint="eastAsia"/>
        </w:rPr>
        <w:t>的</w:t>
      </w:r>
      <w:r>
        <w:t>可能</w:t>
      </w:r>
      <w:r>
        <w:rPr>
          <w:rFonts w:hint="eastAsia"/>
        </w:rPr>
        <w:t>性</w:t>
      </w:r>
      <w:r>
        <w:t>。无人机飞行全过程身份识别</w:t>
      </w:r>
      <w:r>
        <w:rPr>
          <w:rFonts w:hint="eastAsia"/>
        </w:rPr>
        <w:t>应符合</w:t>
      </w:r>
      <w:r>
        <w:t>GB 46750</w:t>
      </w:r>
      <w:r>
        <w:rPr>
          <w:rFonts w:hint="eastAsia"/>
        </w:rPr>
        <w:t>的相关要求。</w:t>
      </w:r>
    </w:p>
    <w:p w14:paraId="3734366F">
      <w:pPr>
        <w:pStyle w:val="32"/>
        <w:ind w:firstLine="0" w:firstLineChars="0"/>
        <w:rPr>
          <w:rFonts w:hint="eastAsia"/>
        </w:rPr>
      </w:pPr>
      <w:r>
        <w:t>4.2.</w:t>
      </w:r>
      <w:r>
        <w:rPr>
          <w:rFonts w:hint="eastAsia"/>
        </w:rPr>
        <w:t>2</w:t>
      </w:r>
      <w:r>
        <w:t>.</w:t>
      </w:r>
      <w:r>
        <w:rPr>
          <w:rFonts w:hint="eastAsia"/>
        </w:rPr>
        <w:t>6</w:t>
      </w:r>
      <w:r>
        <w:t xml:space="preserve"> 导航及定位</w:t>
      </w:r>
      <w:r>
        <w:rPr>
          <w:rFonts w:hint="eastAsia"/>
        </w:rPr>
        <w:t>系统</w:t>
      </w:r>
    </w:p>
    <w:p w14:paraId="7CDE0736">
      <w:pPr>
        <w:pStyle w:val="32"/>
        <w:ind w:firstLine="420"/>
        <w:rPr>
          <w:rFonts w:hint="eastAsia"/>
        </w:rPr>
      </w:pPr>
      <w:r>
        <w:rPr>
          <w:rFonts w:hint="eastAsia"/>
        </w:rPr>
        <w:t xml:space="preserve">a) </w:t>
      </w:r>
      <w:r>
        <w:t>高精度导航与定位系统</w:t>
      </w:r>
      <w:r>
        <w:rPr>
          <w:rFonts w:hint="eastAsia"/>
        </w:rPr>
        <w:t>。</w:t>
      </w:r>
      <w:bookmarkStart w:id="241" w:name="OLE_LINK31"/>
      <w:r>
        <w:rPr>
          <w:rFonts w:hint="eastAsia"/>
        </w:rPr>
        <w:t>具有</w:t>
      </w:r>
      <w:r>
        <w:t>实时动态差分定位</w:t>
      </w:r>
      <w:bookmarkEnd w:id="241"/>
      <w:r>
        <w:t>实现厘米级的定位精度</w:t>
      </w:r>
      <w:r>
        <w:rPr>
          <w:rFonts w:hint="eastAsia"/>
        </w:rPr>
        <w:t>。</w:t>
      </w:r>
    </w:p>
    <w:p w14:paraId="34BF251D">
      <w:pPr>
        <w:pStyle w:val="32"/>
        <w:ind w:firstLine="420"/>
        <w:rPr>
          <w:rFonts w:hint="eastAsia"/>
        </w:rPr>
      </w:pPr>
      <w:r>
        <w:rPr>
          <w:rFonts w:hint="eastAsia"/>
        </w:rPr>
        <w:t xml:space="preserve">b) </w:t>
      </w:r>
      <w:r>
        <w:t>协同定位与多源融合</w:t>
      </w:r>
      <w:r>
        <w:rPr>
          <w:rFonts w:hint="eastAsia"/>
        </w:rPr>
        <w:t>。</w:t>
      </w:r>
      <w:r>
        <w:t>支持北斗、GPS、GLONASS、Galileo等多卫星系统协同定位，在GNSS信号受干扰时，能通过机载惯导等传感器辅助，将航线偏差精确控制在厘米级。</w:t>
      </w:r>
    </w:p>
    <w:p w14:paraId="7BE51201">
      <w:pPr>
        <w:pStyle w:val="32"/>
        <w:ind w:firstLine="420"/>
        <w:rPr>
          <w:rFonts w:hint="eastAsia"/>
        </w:rPr>
      </w:pPr>
      <w:r>
        <w:rPr>
          <w:rFonts w:hint="eastAsia"/>
        </w:rPr>
        <w:t xml:space="preserve">c) </w:t>
      </w:r>
      <w:r>
        <w:t>磁罗盘空中校准</w:t>
      </w:r>
      <w:r>
        <w:rPr>
          <w:rFonts w:hint="eastAsia"/>
        </w:rPr>
        <w:t>。无人机具有</w:t>
      </w:r>
      <w:r>
        <w:t>根据GPS航向进行磁罗盘空中自动校准</w:t>
      </w:r>
      <w:r>
        <w:rPr>
          <w:rFonts w:hint="eastAsia"/>
        </w:rPr>
        <w:t>的功能</w:t>
      </w:r>
      <w:r>
        <w:t>。</w:t>
      </w:r>
    </w:p>
    <w:p w14:paraId="554EA863">
      <w:pPr>
        <w:pStyle w:val="38"/>
      </w:pPr>
      <w:bookmarkStart w:id="242" w:name="_Toc122512925"/>
      <w:bookmarkStart w:id="243" w:name="_Toc228825703"/>
      <w:bookmarkStart w:id="244" w:name="_Toc228826455"/>
      <w:bookmarkStart w:id="245" w:name="_Toc228826581"/>
      <w:bookmarkStart w:id="246" w:name="_Toc228824540"/>
      <w:bookmarkStart w:id="247" w:name="_Toc228825836"/>
      <w:bookmarkStart w:id="248" w:name="OLE_LINK12"/>
      <w:r>
        <w:rPr>
          <w:rFonts w:hint="eastAsia"/>
        </w:rPr>
        <w:t>4.3 作业人员要求</w:t>
      </w:r>
      <w:bookmarkEnd w:id="242"/>
      <w:bookmarkEnd w:id="243"/>
      <w:bookmarkEnd w:id="244"/>
      <w:bookmarkEnd w:id="245"/>
      <w:bookmarkEnd w:id="246"/>
      <w:bookmarkEnd w:id="247"/>
    </w:p>
    <w:bookmarkEnd w:id="248"/>
    <w:p w14:paraId="459ECB83">
      <w:pPr>
        <w:pStyle w:val="32"/>
        <w:ind w:firstLine="0" w:firstLineChars="0"/>
        <w:rPr>
          <w:rFonts w:hint="eastAsia"/>
        </w:rPr>
      </w:pPr>
      <w:bookmarkStart w:id="249" w:name="_Toc228825704"/>
      <w:bookmarkStart w:id="250" w:name="_Toc228824541"/>
      <w:bookmarkStart w:id="251" w:name="_Toc228825837"/>
      <w:r>
        <w:t>4.3.1 一般要求</w:t>
      </w:r>
      <w:bookmarkEnd w:id="249"/>
      <w:bookmarkEnd w:id="250"/>
      <w:bookmarkEnd w:id="251"/>
    </w:p>
    <w:p w14:paraId="0D1439C0">
      <w:pPr>
        <w:pStyle w:val="32"/>
        <w:ind w:firstLine="420"/>
        <w:rPr>
          <w:rFonts w:hint="eastAsia"/>
        </w:rPr>
      </w:pPr>
      <w:r>
        <w:rPr>
          <w:rFonts w:hint="eastAsia"/>
        </w:rPr>
        <w:t>无人机作业人员通常情况下</w:t>
      </w:r>
      <w:r>
        <w:t>应不少于</w:t>
      </w:r>
      <w:r>
        <w:rPr>
          <w:rFonts w:hint="eastAsia"/>
        </w:rPr>
        <w:t>三</w:t>
      </w:r>
      <w:r>
        <w:t>人，分别为操控员</w:t>
      </w:r>
      <w:r>
        <w:rPr>
          <w:rFonts w:hint="eastAsia"/>
        </w:rPr>
        <w:t>、观测</w:t>
      </w:r>
      <w:r>
        <w:t>员和技术支持</w:t>
      </w:r>
      <w:r>
        <w:rPr>
          <w:rFonts w:hint="eastAsia"/>
        </w:rPr>
        <w:t>人</w:t>
      </w:r>
      <w:r>
        <w:t>员。</w:t>
      </w:r>
      <w:r>
        <w:rPr>
          <w:rFonts w:hint="eastAsia"/>
        </w:rPr>
        <w:t>作业人员均应</w:t>
      </w:r>
      <w:r>
        <w:t>熟悉无人</w:t>
      </w:r>
      <w:r>
        <w:rPr>
          <w:rFonts w:hint="eastAsia"/>
        </w:rPr>
        <w:t>机</w:t>
      </w:r>
      <w:r>
        <w:t>的基本结构</w:t>
      </w:r>
      <w:r>
        <w:rPr>
          <w:rFonts w:hint="eastAsia"/>
        </w:rPr>
        <w:t>、</w:t>
      </w:r>
      <w:r>
        <w:t>工作原理</w:t>
      </w:r>
      <w:r>
        <w:rPr>
          <w:rFonts w:hint="eastAsia"/>
        </w:rPr>
        <w:t>、</w:t>
      </w:r>
      <w:r>
        <w:t>作业方法和流程，掌握无人</w:t>
      </w:r>
      <w:r>
        <w:rPr>
          <w:rFonts w:hint="eastAsia"/>
        </w:rPr>
        <w:t>机</w:t>
      </w:r>
      <w:r>
        <w:t>作业运行维护与安全生产相关知识及通用应急操作程序，并通过相应机型的操作培训；</w:t>
      </w:r>
      <w:r>
        <w:rPr>
          <w:rFonts w:hint="eastAsia"/>
        </w:rPr>
        <w:t>接受过</w:t>
      </w:r>
      <w:r>
        <w:t>海上安全培训，具备风险隐患识别和预防处理的能力</w:t>
      </w:r>
      <w:r>
        <w:rPr>
          <w:rFonts w:hint="eastAsia"/>
        </w:rPr>
        <w:t>。</w:t>
      </w:r>
    </w:p>
    <w:p w14:paraId="202EBCDD">
      <w:pPr>
        <w:pStyle w:val="32"/>
        <w:ind w:firstLine="0" w:firstLineChars="0"/>
        <w:rPr>
          <w:rFonts w:hint="eastAsia"/>
        </w:rPr>
      </w:pPr>
      <w:bookmarkStart w:id="252" w:name="_Toc228825838"/>
      <w:bookmarkStart w:id="253" w:name="_Toc228825705"/>
      <w:bookmarkStart w:id="254" w:name="_Toc228824542"/>
      <w:r>
        <w:t>4.3.2 无人机操控员</w:t>
      </w:r>
      <w:bookmarkEnd w:id="252"/>
      <w:bookmarkEnd w:id="253"/>
      <w:bookmarkEnd w:id="254"/>
    </w:p>
    <w:p w14:paraId="7516F173">
      <w:pPr>
        <w:pStyle w:val="32"/>
        <w:ind w:firstLine="420"/>
        <w:rPr>
          <w:rFonts w:hint="eastAsia"/>
        </w:rPr>
      </w:pPr>
      <w:r>
        <w:rPr>
          <w:rFonts w:hint="eastAsia"/>
        </w:rPr>
        <w:t>无人机操控员</w:t>
      </w:r>
      <w:r>
        <w:t>在作业期间主要负责无人</w:t>
      </w:r>
      <w:r>
        <w:rPr>
          <w:rFonts w:hint="eastAsia"/>
        </w:rPr>
        <w:t>机</w:t>
      </w:r>
      <w:r>
        <w:t>飞行操控、任务执行及飞行中应急决策的人员。应具备其所</w:t>
      </w:r>
      <w:r>
        <w:rPr>
          <w:rFonts w:hint="eastAsia"/>
        </w:rPr>
        <w:t>操控</w:t>
      </w:r>
      <w:r>
        <w:t>无人</w:t>
      </w:r>
      <w:r>
        <w:rPr>
          <w:rFonts w:hint="eastAsia"/>
        </w:rPr>
        <w:t>机</w:t>
      </w:r>
      <w:r>
        <w:t>类型和等级要求的资质</w:t>
      </w:r>
      <w:r>
        <w:rPr>
          <w:rFonts w:hint="eastAsia"/>
        </w:rPr>
        <w:t>，</w:t>
      </w:r>
      <w:r>
        <w:t>并在UOM系统中进行资质管理</w:t>
      </w:r>
      <w:r>
        <w:rPr>
          <w:rFonts w:hint="eastAsia"/>
        </w:rPr>
        <w:t>。符合</w:t>
      </w:r>
      <w:r>
        <w:t>《民用无人驾驶航空器运行安全管理规则》（CCAR-92）</w:t>
      </w:r>
      <w:r>
        <w:rPr>
          <w:rFonts w:hint="eastAsia"/>
        </w:rPr>
        <w:t>、</w:t>
      </w:r>
      <w:r>
        <w:t>《民用无人驾驶航空器操控员管理规定》（AC-61-FS-020R3）</w:t>
      </w:r>
      <w:r>
        <w:rPr>
          <w:rFonts w:hint="eastAsia"/>
        </w:rPr>
        <w:t>的要求。</w:t>
      </w:r>
    </w:p>
    <w:p w14:paraId="52D981EC">
      <w:pPr>
        <w:pStyle w:val="32"/>
        <w:ind w:firstLine="0" w:firstLineChars="0"/>
        <w:rPr>
          <w:rFonts w:hint="eastAsia"/>
        </w:rPr>
      </w:pPr>
      <w:bookmarkStart w:id="255" w:name="_Toc228825706"/>
      <w:bookmarkStart w:id="256" w:name="_Toc228824543"/>
      <w:bookmarkStart w:id="257" w:name="_Toc228825839"/>
      <w:r>
        <w:t>4.3.3 无人机观测员</w:t>
      </w:r>
      <w:bookmarkEnd w:id="255"/>
      <w:bookmarkEnd w:id="256"/>
      <w:bookmarkEnd w:id="257"/>
    </w:p>
    <w:p w14:paraId="7D5A231B">
      <w:pPr>
        <w:pStyle w:val="32"/>
        <w:ind w:firstLine="420"/>
        <w:rPr>
          <w:rFonts w:hint="eastAsia"/>
        </w:rPr>
      </w:pPr>
      <w:r>
        <w:rPr>
          <w:rFonts w:hint="eastAsia"/>
        </w:rPr>
        <w:t>无人机观测员</w:t>
      </w:r>
      <w:r>
        <w:t>负责目视观察无人</w:t>
      </w:r>
      <w:r>
        <w:rPr>
          <w:rFonts w:hint="eastAsia"/>
        </w:rPr>
        <w:t>机</w:t>
      </w:r>
      <w:r>
        <w:t>、船舶周围环境和空中动态。</w:t>
      </w:r>
      <w:r>
        <w:rPr>
          <w:rFonts w:hint="eastAsia"/>
        </w:rPr>
        <w:t>应能配合无人机操控员做起飞前准备工作，在起降及作业期间完成起降区情况、起降航线气象及鸟群和安全检查，并在飞行过程中，配合无人机操控员与船长保持密切沟通。无人机观测员应掌握空域管制规定、《民用无人驾驶航空器系统空中交通管理办法》(MD-TM-2016-004)等相关规定。</w:t>
      </w:r>
    </w:p>
    <w:p w14:paraId="4A2EB1E8">
      <w:pPr>
        <w:pStyle w:val="32"/>
        <w:ind w:firstLine="0" w:firstLineChars="0"/>
        <w:rPr>
          <w:rFonts w:hint="eastAsia"/>
        </w:rPr>
      </w:pPr>
      <w:bookmarkStart w:id="258" w:name="_Toc228824544"/>
      <w:bookmarkStart w:id="259" w:name="_Toc228825840"/>
      <w:bookmarkStart w:id="260" w:name="_Toc228825707"/>
      <w:r>
        <w:t>4.3.4 技术支持人员</w:t>
      </w:r>
      <w:bookmarkEnd w:id="258"/>
      <w:bookmarkEnd w:id="259"/>
      <w:bookmarkEnd w:id="260"/>
    </w:p>
    <w:p w14:paraId="1B3E8E34">
      <w:pPr>
        <w:pStyle w:val="32"/>
        <w:ind w:firstLine="420"/>
        <w:rPr>
          <w:rFonts w:hint="eastAsia"/>
        </w:rPr>
      </w:pPr>
      <w:r>
        <w:t>技术支持人员</w:t>
      </w:r>
      <w:r>
        <w:rPr>
          <w:rFonts w:hint="eastAsia"/>
        </w:rPr>
        <w:t>一般包括安全员、机务人员、地勤人员，可由一人或多人担任。</w:t>
      </w:r>
    </w:p>
    <w:p w14:paraId="33490C7A">
      <w:pPr>
        <w:pStyle w:val="32"/>
        <w:ind w:firstLine="0" w:firstLineChars="0"/>
        <w:rPr>
          <w:rFonts w:hint="eastAsia"/>
        </w:rPr>
      </w:pPr>
      <w:r>
        <w:rPr>
          <w:rFonts w:hint="eastAsia"/>
        </w:rPr>
        <w:t>4.3.4.1 安全员</w:t>
      </w:r>
    </w:p>
    <w:p w14:paraId="6A8E4280">
      <w:pPr>
        <w:pStyle w:val="32"/>
        <w:ind w:firstLine="420"/>
        <w:rPr>
          <w:rFonts w:hint="eastAsia"/>
        </w:rPr>
      </w:pPr>
      <w:r>
        <w:rPr>
          <w:rFonts w:hint="eastAsia"/>
        </w:rPr>
        <w:t>安全员负责无人机作业安全，与需方及时沟通，统筹供需双方进行无人机作业规划，对无人机在船上起降承担主要安全责任。</w:t>
      </w:r>
      <w:r>
        <w:t>负责作业现场（特别是起降区）的安全警戒、环境观察、障碍物清理、应急设备准备，并与船舶驾驶台保持通信联络，协调船舶航向航速</w:t>
      </w:r>
      <w:r>
        <w:rPr>
          <w:rFonts w:hint="eastAsia"/>
        </w:rPr>
        <w:t>，</w:t>
      </w:r>
      <w:r>
        <w:t>确保作业流程符合安全规定的人员。</w:t>
      </w:r>
    </w:p>
    <w:p w14:paraId="116CB979">
      <w:pPr>
        <w:pStyle w:val="32"/>
        <w:ind w:firstLine="0" w:firstLineChars="0"/>
        <w:rPr>
          <w:rFonts w:hint="eastAsia"/>
        </w:rPr>
      </w:pPr>
      <w:r>
        <w:rPr>
          <w:rFonts w:hint="eastAsia"/>
        </w:rPr>
        <w:t>4.3.4.2 机务人员</w:t>
      </w:r>
    </w:p>
    <w:p w14:paraId="5EE9754B">
      <w:pPr>
        <w:pStyle w:val="32"/>
        <w:ind w:firstLine="420"/>
        <w:rPr>
          <w:rFonts w:hint="eastAsia"/>
        </w:rPr>
      </w:pPr>
      <w:r>
        <w:rPr>
          <w:rFonts w:hint="eastAsia"/>
        </w:rPr>
        <w:t xml:space="preserve"> </w:t>
      </w:r>
      <w:bookmarkStart w:id="261" w:name="OLE_LINK35"/>
      <w:r>
        <w:rPr>
          <w:rFonts w:hint="eastAsia"/>
        </w:rPr>
        <w:t>机务人员</w:t>
      </w:r>
      <w:bookmarkEnd w:id="261"/>
      <w:r>
        <w:rPr>
          <w:rFonts w:hint="eastAsia"/>
        </w:rPr>
        <w:t>负责安装、调试无人机电机、动力设备、桨叶等设备，检查、维护、整理无人机及相关设备。无人机机务人员上岗前应接受无人机相关维护技术和安全培训。</w:t>
      </w:r>
    </w:p>
    <w:p w14:paraId="0ACD9DE0">
      <w:pPr>
        <w:pStyle w:val="32"/>
        <w:ind w:firstLine="0" w:firstLineChars="0"/>
        <w:rPr>
          <w:rFonts w:hint="eastAsia"/>
        </w:rPr>
      </w:pPr>
      <w:r>
        <w:rPr>
          <w:rFonts w:hint="eastAsia"/>
        </w:rPr>
        <w:t>4.3.4.3 地勤人员</w:t>
      </w:r>
    </w:p>
    <w:p w14:paraId="6DFFDE15">
      <w:pPr>
        <w:pStyle w:val="32"/>
        <w:ind w:firstLine="420"/>
        <w:rPr>
          <w:rFonts w:hint="eastAsia"/>
        </w:rPr>
      </w:pPr>
      <w:bookmarkStart w:id="262" w:name="OLE_LINK36"/>
      <w:r>
        <w:rPr>
          <w:rFonts w:hint="eastAsia"/>
        </w:rPr>
        <w:t>地勤人员</w:t>
      </w:r>
      <w:bookmarkEnd w:id="262"/>
      <w:r>
        <w:rPr>
          <w:rFonts w:hint="eastAsia"/>
        </w:rPr>
        <w:t>负责无人驾驶航空器任务载荷系统的准备、起飞、着陆和维护。</w:t>
      </w:r>
    </w:p>
    <w:p w14:paraId="5E3A135C">
      <w:pPr>
        <w:pStyle w:val="32"/>
        <w:ind w:firstLine="0" w:firstLineChars="0"/>
        <w:rPr>
          <w:rFonts w:hint="eastAsia"/>
        </w:rPr>
      </w:pPr>
      <w:bookmarkStart w:id="263" w:name="_Toc228825708"/>
      <w:bookmarkStart w:id="264" w:name="_Toc228825841"/>
      <w:bookmarkStart w:id="265" w:name="_Toc228824545"/>
      <w:r>
        <w:t>4.3.5 人员防护装备</w:t>
      </w:r>
      <w:bookmarkEnd w:id="263"/>
      <w:bookmarkEnd w:id="264"/>
      <w:bookmarkEnd w:id="265"/>
    </w:p>
    <w:p w14:paraId="0C4FBE44">
      <w:pPr>
        <w:pStyle w:val="32"/>
        <w:ind w:firstLine="420"/>
        <w:rPr>
          <w:rFonts w:hint="eastAsia"/>
        </w:rPr>
      </w:pPr>
      <w:r>
        <w:t>所有参与露天甲板作业人员均应佩戴</w:t>
      </w:r>
      <w:r>
        <w:rPr>
          <w:rFonts w:hint="eastAsia"/>
        </w:rPr>
        <w:t>安全</w:t>
      </w:r>
      <w:r>
        <w:t>头盔</w:t>
      </w:r>
      <w:r>
        <w:rPr>
          <w:rFonts w:hint="eastAsia"/>
        </w:rPr>
        <w:t>，</w:t>
      </w:r>
      <w:r>
        <w:t>穿着防滑</w:t>
      </w:r>
      <w:r>
        <w:rPr>
          <w:rFonts w:hint="eastAsia"/>
        </w:rPr>
        <w:t>安全</w:t>
      </w:r>
      <w:r>
        <w:t>鞋、工作服</w:t>
      </w:r>
      <w:r>
        <w:rPr>
          <w:rFonts w:hint="eastAsia"/>
        </w:rPr>
        <w:t>、</w:t>
      </w:r>
      <w:r>
        <w:t>救生衣</w:t>
      </w:r>
      <w:r>
        <w:rPr>
          <w:rFonts w:hint="eastAsia"/>
        </w:rPr>
        <w:t>，可</w:t>
      </w:r>
      <w:r>
        <w:t>配套护目镜和防护手套。人员防护装备</w:t>
      </w:r>
      <w:r>
        <w:rPr>
          <w:rFonts w:hint="eastAsia"/>
        </w:rPr>
        <w:t>符合</w:t>
      </w:r>
      <w:r>
        <w:t>GB 39800.8-2024</w:t>
      </w:r>
      <w:r>
        <w:rPr>
          <w:rFonts w:hint="eastAsia"/>
        </w:rPr>
        <w:t>标准，</w:t>
      </w:r>
      <w:r>
        <w:t>救生衣符合GB/T 32227-2015的要求。</w:t>
      </w:r>
    </w:p>
    <w:p w14:paraId="21E80DD2">
      <w:pPr>
        <w:pStyle w:val="38"/>
      </w:pPr>
      <w:bookmarkStart w:id="266" w:name="_Toc228826582"/>
      <w:bookmarkStart w:id="267" w:name="_Toc228824546"/>
      <w:bookmarkStart w:id="268" w:name="_Toc228825842"/>
      <w:bookmarkStart w:id="269" w:name="_Toc228825709"/>
      <w:bookmarkStart w:id="270" w:name="_Toc228826456"/>
      <w:r>
        <w:rPr>
          <w:rFonts w:hint="eastAsia"/>
        </w:rPr>
        <w:t>4.4 作业船舶要求</w:t>
      </w:r>
      <w:bookmarkEnd w:id="266"/>
      <w:bookmarkEnd w:id="267"/>
      <w:bookmarkEnd w:id="268"/>
      <w:bookmarkEnd w:id="269"/>
      <w:bookmarkEnd w:id="270"/>
    </w:p>
    <w:p w14:paraId="789BF04A">
      <w:pPr>
        <w:pStyle w:val="32"/>
        <w:ind w:firstLine="0" w:firstLineChars="0"/>
        <w:rPr>
          <w:rFonts w:hint="eastAsia"/>
        </w:rPr>
      </w:pPr>
      <w:bookmarkStart w:id="271" w:name="_Toc228824547"/>
      <w:bookmarkStart w:id="272" w:name="_Toc228825710"/>
      <w:bookmarkStart w:id="273" w:name="_Toc228825843"/>
      <w:r>
        <w:t>4.4.1 一般要求</w:t>
      </w:r>
      <w:bookmarkEnd w:id="271"/>
      <w:bookmarkEnd w:id="272"/>
      <w:bookmarkEnd w:id="273"/>
    </w:p>
    <w:p w14:paraId="011B2556">
      <w:pPr>
        <w:pStyle w:val="32"/>
        <w:ind w:firstLine="0" w:firstLineChars="0"/>
        <w:rPr>
          <w:rFonts w:hint="eastAsia"/>
        </w:rPr>
      </w:pPr>
      <w:bookmarkStart w:id="274" w:name="OLE_LINK43"/>
      <w:r>
        <w:rPr>
          <w:rFonts w:hint="eastAsia"/>
        </w:rPr>
        <w:t>4.4.1.1</w:t>
      </w:r>
      <w:bookmarkEnd w:id="274"/>
      <w:r>
        <w:rPr>
          <w:rFonts w:hint="eastAsia"/>
        </w:rPr>
        <w:t xml:space="preserve"> </w:t>
      </w:r>
      <w:r>
        <w:t>航速与机动性</w:t>
      </w:r>
    </w:p>
    <w:p w14:paraId="07426FE8">
      <w:pPr>
        <w:pStyle w:val="32"/>
        <w:ind w:firstLine="420"/>
        <w:rPr>
          <w:rFonts w:hint="eastAsia"/>
        </w:rPr>
      </w:pPr>
      <w:r>
        <w:t>船舶应具备一定的稳定航行能力。在无人</w:t>
      </w:r>
      <w:r>
        <w:rPr>
          <w:rFonts w:hint="eastAsia"/>
        </w:rPr>
        <w:t>机</w:t>
      </w:r>
      <w:r>
        <w:t>起降阶段，船舶可能需要调整航向和航速，形成有利于无人</w:t>
      </w:r>
      <w:r>
        <w:rPr>
          <w:rFonts w:hint="eastAsia"/>
        </w:rPr>
        <w:t>机</w:t>
      </w:r>
      <w:r>
        <w:t>操作的“甲板风”（即相对风），减小侧风对着舰的干扰。</w:t>
      </w:r>
    </w:p>
    <w:p w14:paraId="1DCE226C">
      <w:pPr>
        <w:pStyle w:val="32"/>
        <w:ind w:firstLine="0" w:firstLineChars="0"/>
        <w:rPr>
          <w:rFonts w:hint="eastAsia"/>
        </w:rPr>
      </w:pPr>
      <w:r>
        <w:rPr>
          <w:rFonts w:hint="eastAsia"/>
        </w:rPr>
        <w:t xml:space="preserve">4.4.1.2 </w:t>
      </w:r>
      <w:r>
        <w:t>动力与电力供应</w:t>
      </w:r>
    </w:p>
    <w:p w14:paraId="1ACBCEF5">
      <w:pPr>
        <w:pStyle w:val="32"/>
        <w:ind w:firstLine="420"/>
        <w:rPr>
          <w:rFonts w:hint="eastAsia"/>
        </w:rPr>
      </w:pPr>
      <w:r>
        <w:t>船舶需提供稳定、纯净的电力，用于无人</w:t>
      </w:r>
      <w:r>
        <w:rPr>
          <w:rFonts w:hint="eastAsia"/>
        </w:rPr>
        <w:t>机</w:t>
      </w:r>
      <w:r>
        <w:t>地面站、通信设备、电池充电系统等。</w:t>
      </w:r>
    </w:p>
    <w:p w14:paraId="28FC3782">
      <w:pPr>
        <w:pStyle w:val="32"/>
        <w:ind w:firstLine="0" w:firstLineChars="0"/>
        <w:rPr>
          <w:rFonts w:hint="eastAsia"/>
        </w:rPr>
      </w:pPr>
      <w:r>
        <w:rPr>
          <w:rFonts w:hint="eastAsia"/>
        </w:rPr>
        <w:t xml:space="preserve">4.4.1.3 </w:t>
      </w:r>
      <w:r>
        <w:t>通信与数据接口</w:t>
      </w:r>
    </w:p>
    <w:p w14:paraId="17CF3EE9">
      <w:pPr>
        <w:pStyle w:val="32"/>
        <w:ind w:firstLine="420"/>
        <w:rPr>
          <w:rFonts w:hint="eastAsia"/>
        </w:rPr>
      </w:pPr>
      <w:r>
        <w:t>船舶应具备与无人</w:t>
      </w:r>
      <w:r>
        <w:rPr>
          <w:rFonts w:hint="eastAsia"/>
        </w:rPr>
        <w:t>机</w:t>
      </w:r>
      <w:r>
        <w:t>地面站系统集成的数据接口，能够向无人</w:t>
      </w:r>
      <w:r>
        <w:rPr>
          <w:rFonts w:hint="eastAsia"/>
        </w:rPr>
        <w:t>机</w:t>
      </w:r>
      <w:r>
        <w:t>实时提供本船的GPS位置、航向、航速、姿态（横摇、纵摇）等数据。</w:t>
      </w:r>
    </w:p>
    <w:p w14:paraId="0C59D591">
      <w:pPr>
        <w:pStyle w:val="32"/>
        <w:ind w:firstLine="0" w:firstLineChars="0"/>
        <w:rPr>
          <w:rFonts w:hint="eastAsia"/>
        </w:rPr>
      </w:pPr>
      <w:r>
        <w:rPr>
          <w:rFonts w:hint="eastAsia"/>
        </w:rPr>
        <w:t>4.4.1.4 电磁兼容性</w:t>
      </w:r>
    </w:p>
    <w:p w14:paraId="361AF3B5">
      <w:pPr>
        <w:pStyle w:val="32"/>
        <w:ind w:firstLine="420"/>
        <w:rPr>
          <w:rFonts w:hint="eastAsia"/>
        </w:rPr>
      </w:pPr>
      <w:r>
        <w:t>船舶设备</w:t>
      </w:r>
      <w:r>
        <w:rPr>
          <w:rFonts w:hint="eastAsia"/>
        </w:rPr>
        <w:t>电磁兼容性应符合</w:t>
      </w:r>
      <w:r>
        <w:t>GB/T 10250-2025</w:t>
      </w:r>
      <w:r>
        <w:rPr>
          <w:rFonts w:hint="eastAsia"/>
        </w:rPr>
        <w:t>的标准。</w:t>
      </w:r>
    </w:p>
    <w:p w14:paraId="62F75ADF">
      <w:pPr>
        <w:pStyle w:val="32"/>
        <w:ind w:firstLine="0" w:firstLineChars="0"/>
        <w:rPr>
          <w:rFonts w:hint="eastAsia"/>
        </w:rPr>
      </w:pPr>
      <w:r>
        <w:rPr>
          <w:rFonts w:hint="eastAsia"/>
        </w:rPr>
        <w:t xml:space="preserve">4.4.1.5 </w:t>
      </w:r>
      <w:r>
        <w:t>实时监测和预警</w:t>
      </w:r>
    </w:p>
    <w:p w14:paraId="66EDBE0F">
      <w:pPr>
        <w:pStyle w:val="32"/>
        <w:ind w:firstLine="420"/>
        <w:rPr>
          <w:rFonts w:hint="eastAsia"/>
        </w:rPr>
      </w:pPr>
      <w:r>
        <w:t>船舶应配备完善的气象监测设备，包括风速计、风向标、气压计、温度计、湿度计等，实时监测环境参数</w:t>
      </w:r>
      <w:r>
        <w:rPr>
          <w:rFonts w:hint="eastAsia"/>
        </w:rPr>
        <w:t>，</w:t>
      </w:r>
      <w:r>
        <w:t>同时通过卫星通信接收天气预报和海洋环境预报信息。</w:t>
      </w:r>
    </w:p>
    <w:p w14:paraId="43976E7A">
      <w:pPr>
        <w:pStyle w:val="32"/>
        <w:ind w:firstLine="0" w:firstLineChars="0"/>
        <w:rPr>
          <w:rFonts w:hint="eastAsia"/>
        </w:rPr>
      </w:pPr>
      <w:bookmarkStart w:id="275" w:name="_Toc228825711"/>
      <w:bookmarkStart w:id="276" w:name="_Toc228825844"/>
      <w:bookmarkStart w:id="277" w:name="_Toc228824548"/>
      <w:r>
        <w:t>4.4.2 其他辅助要求</w:t>
      </w:r>
      <w:bookmarkEnd w:id="275"/>
      <w:bookmarkEnd w:id="276"/>
      <w:bookmarkEnd w:id="277"/>
    </w:p>
    <w:p w14:paraId="66CD2770">
      <w:pPr>
        <w:pStyle w:val="32"/>
        <w:ind w:firstLine="0" w:firstLineChars="0"/>
        <w:rPr>
          <w:rFonts w:hint="eastAsia"/>
        </w:rPr>
      </w:pPr>
      <w:r>
        <w:t>4.4.</w:t>
      </w:r>
      <w:r>
        <w:rPr>
          <w:rFonts w:hint="eastAsia"/>
        </w:rPr>
        <w:t>2</w:t>
      </w:r>
      <w:r>
        <w:t>.</w:t>
      </w:r>
      <w:r>
        <w:rPr>
          <w:rFonts w:hint="eastAsia"/>
        </w:rPr>
        <w:t>1</w:t>
      </w:r>
      <w:r>
        <w:t xml:space="preserve"> 船载自主着陆控制</w:t>
      </w:r>
    </w:p>
    <w:p w14:paraId="237606EE">
      <w:pPr>
        <w:pStyle w:val="32"/>
        <w:ind w:firstLine="420"/>
        <w:rPr>
          <w:rFonts w:hint="eastAsia"/>
        </w:rPr>
      </w:pPr>
      <w:r>
        <w:t>船上的传感器实时预测甲板运动，并将数据传给无人</w:t>
      </w:r>
      <w:r>
        <w:rPr>
          <w:rFonts w:hint="eastAsia"/>
        </w:rPr>
        <w:t>机</w:t>
      </w:r>
      <w:r>
        <w:t>，使其精确规划下降轨迹，主动“追踪”下沉的甲板。</w:t>
      </w:r>
    </w:p>
    <w:p w14:paraId="10B1A60E">
      <w:pPr>
        <w:pStyle w:val="32"/>
        <w:ind w:firstLine="0" w:firstLineChars="0"/>
        <w:rPr>
          <w:rFonts w:hint="eastAsia"/>
        </w:rPr>
      </w:pPr>
      <w:r>
        <w:t>4.4.</w:t>
      </w:r>
      <w:r>
        <w:rPr>
          <w:rFonts w:hint="eastAsia"/>
        </w:rPr>
        <w:t>2</w:t>
      </w:r>
      <w:r>
        <w:t>.</w:t>
      </w:r>
      <w:r>
        <w:rPr>
          <w:rFonts w:hint="eastAsia"/>
        </w:rPr>
        <w:t>2</w:t>
      </w:r>
      <w:r>
        <w:t xml:space="preserve"> 起降引导系统</w:t>
      </w:r>
    </w:p>
    <w:p w14:paraId="01F48C51">
      <w:pPr>
        <w:pStyle w:val="32"/>
        <w:ind w:firstLine="420"/>
        <w:rPr>
          <w:rFonts w:hint="eastAsia"/>
        </w:rPr>
      </w:pPr>
      <w:r>
        <w:t>具备光学引导装置、雷达引导装置、激光引导装置辅助无人</w:t>
      </w:r>
      <w:r>
        <w:rPr>
          <w:rFonts w:hint="eastAsia"/>
        </w:rPr>
        <w:t>机</w:t>
      </w:r>
      <w:r>
        <w:t>精确对准起降点。</w:t>
      </w:r>
    </w:p>
    <w:p w14:paraId="65236F53">
      <w:pPr>
        <w:pStyle w:val="32"/>
        <w:ind w:firstLine="0" w:firstLineChars="0"/>
        <w:rPr>
          <w:rFonts w:hint="eastAsia"/>
        </w:rPr>
      </w:pPr>
      <w:r>
        <w:t>4.4.</w:t>
      </w:r>
      <w:r>
        <w:rPr>
          <w:rFonts w:hint="eastAsia"/>
        </w:rPr>
        <w:t>2</w:t>
      </w:r>
      <w:r>
        <w:t>.</w:t>
      </w:r>
      <w:r>
        <w:rPr>
          <w:rFonts w:hint="eastAsia"/>
        </w:rPr>
        <w:t>3</w:t>
      </w:r>
      <w:r>
        <w:t xml:space="preserve"> 运动测量系统</w:t>
      </w:r>
    </w:p>
    <w:p w14:paraId="74477254">
      <w:pPr>
        <w:pStyle w:val="32"/>
        <w:ind w:firstLine="420"/>
        <w:rPr>
          <w:rFonts w:hint="eastAsia"/>
        </w:rPr>
      </w:pPr>
      <w:r>
        <w:t>船舶具备高精度的姿态测量设备，包括陀螺仪、加速度计、GPS 等以及光纤陀螺和激光陀螺等高精度惯性测量单元（IMU），实时测量船舶的运动状态，能够提供亚角秒级的姿态测量精度。测量数据通过高速数据总线实时传输给无人</w:t>
      </w:r>
      <w:r>
        <w:rPr>
          <w:rFonts w:hint="eastAsia"/>
        </w:rPr>
        <w:t>机</w:t>
      </w:r>
      <w:r>
        <w:t>控制系统。</w:t>
      </w:r>
    </w:p>
    <w:p w14:paraId="623B85B5">
      <w:pPr>
        <w:pStyle w:val="32"/>
        <w:ind w:firstLine="0" w:firstLineChars="0"/>
        <w:rPr>
          <w:rFonts w:hint="eastAsia"/>
        </w:rPr>
      </w:pPr>
      <w:r>
        <w:t>4.4.2.4 平台稳定补偿</w:t>
      </w:r>
    </w:p>
    <w:p w14:paraId="322AD8BC">
      <w:pPr>
        <w:pStyle w:val="32"/>
        <w:ind w:firstLine="420"/>
        <w:rPr>
          <w:rFonts w:hint="eastAsia"/>
        </w:rPr>
      </w:pPr>
      <w:r>
        <w:t>具备六自由度海浪补偿主动稳定平台，通过增加舭龙骨与减摇鳍等措施抑制船体横摇；采用主动式调平机构（伺服液压缸 + 倾角传感器闭环控制）实时调整姿态，抵消船舶运动的影响，确保甲板平面度在±0.2°以内，为无人机提供一个稳定的着陆基准</w:t>
      </w:r>
    </w:p>
    <w:p w14:paraId="40749BFE">
      <w:pPr>
        <w:pStyle w:val="32"/>
        <w:ind w:firstLine="0" w:firstLineChars="0"/>
        <w:rPr>
          <w:rFonts w:hint="eastAsia"/>
        </w:rPr>
      </w:pPr>
      <w:bookmarkStart w:id="278" w:name="_Toc228825712"/>
      <w:bookmarkStart w:id="279" w:name="_Toc228825845"/>
      <w:bookmarkStart w:id="280" w:name="_Toc228824549"/>
      <w:r>
        <w:t>4.4.3 起降区</w:t>
      </w:r>
      <w:bookmarkEnd w:id="278"/>
      <w:bookmarkEnd w:id="279"/>
      <w:bookmarkEnd w:id="280"/>
    </w:p>
    <w:p w14:paraId="72695231">
      <w:pPr>
        <w:pStyle w:val="32"/>
        <w:ind w:firstLine="0" w:firstLineChars="0"/>
        <w:rPr>
          <w:rFonts w:hint="eastAsia"/>
        </w:rPr>
      </w:pPr>
      <w:r>
        <w:t>4.4.3.</w:t>
      </w:r>
      <w:r>
        <w:rPr>
          <w:rFonts w:hint="eastAsia"/>
        </w:rPr>
        <w:t>1</w:t>
      </w:r>
      <w:r>
        <w:t xml:space="preserve"> 起降区</w:t>
      </w:r>
      <w:r>
        <w:rPr>
          <w:rFonts w:hint="eastAsia"/>
        </w:rPr>
        <w:t>划定</w:t>
      </w:r>
      <w:r>
        <w:t>与净空区</w:t>
      </w:r>
    </w:p>
    <w:p w14:paraId="4D83103F">
      <w:pPr>
        <w:pStyle w:val="32"/>
        <w:ind w:firstLine="420"/>
        <w:rPr>
          <w:rFonts w:hint="eastAsia"/>
        </w:rPr>
      </w:pPr>
      <w:r>
        <w:t>a) 起降区：划定一个平整、无障碍的区域。起降区的形状采用正多边形或圆形，其尺寸取决于无人机全尺寸，其中，接（离）地区一般为1倍无人机全尺寸，最终进近和起飞区一般为2倍无人机全尺寸，安全区一般为0.5倍无人机全尺寸。无人机全尺寸3米以上的起降区面积通常不小于10米×10米。</w:t>
      </w:r>
    </w:p>
    <w:p w14:paraId="381310D6">
      <w:pPr>
        <w:pStyle w:val="32"/>
        <w:ind w:firstLine="420"/>
        <w:rPr>
          <w:rFonts w:hint="eastAsia"/>
        </w:rPr>
      </w:pPr>
      <w:r>
        <w:t>b）净空区：起降区上方和进近/离场方向上必须有足够的净空，不能有船体结构、天线、桅杆、吊臂等障碍物。其净空范围应大于无人机全尺寸1倍以上，并留出足够的安全裕度，以防无人机在阵风中发生漂移。</w:t>
      </w:r>
    </w:p>
    <w:p w14:paraId="068057DC">
      <w:pPr>
        <w:pStyle w:val="32"/>
        <w:ind w:firstLine="0" w:firstLineChars="0"/>
        <w:rPr>
          <w:rFonts w:hint="eastAsia"/>
        </w:rPr>
      </w:pPr>
      <w:bookmarkStart w:id="281" w:name="OLE_LINK44"/>
      <w:r>
        <w:rPr>
          <w:rFonts w:hint="eastAsia"/>
        </w:rPr>
        <w:t>4.4.3.2 船舶甲板</w:t>
      </w:r>
    </w:p>
    <w:p w14:paraId="04B74820">
      <w:pPr>
        <w:pStyle w:val="32"/>
        <w:ind w:firstLine="420"/>
        <w:rPr>
          <w:rFonts w:hint="eastAsia"/>
        </w:rPr>
      </w:pPr>
      <w:r>
        <w:rPr>
          <w:rFonts w:hint="eastAsia"/>
        </w:rPr>
        <w:t>a) 平台</w:t>
      </w:r>
      <w:r>
        <w:t>甲板强度与承载力</w:t>
      </w:r>
      <w:r>
        <w:rPr>
          <w:rFonts w:hint="eastAsia"/>
        </w:rPr>
        <w:t>。</w:t>
      </w:r>
      <w:bookmarkEnd w:id="281"/>
      <w:r>
        <w:t>甲板结构必须能够承受无人</w:t>
      </w:r>
      <w:r>
        <w:rPr>
          <w:rFonts w:hint="eastAsia"/>
        </w:rPr>
        <w:t>机</w:t>
      </w:r>
      <w:r>
        <w:t>降落时的冲击载荷和其满载停放时的静态载荷。甲板的承载能力一般</w:t>
      </w:r>
      <w:r>
        <w:rPr>
          <w:rFonts w:hint="eastAsia"/>
        </w:rPr>
        <w:t>为无人机</w:t>
      </w:r>
      <w:r>
        <w:t>最大起飞重量的1.</w:t>
      </w:r>
      <w:r>
        <w:rPr>
          <w:rFonts w:hint="eastAsia"/>
        </w:rPr>
        <w:t>5</w:t>
      </w:r>
      <w:r>
        <w:t>-2.</w:t>
      </w:r>
      <w:r>
        <w:rPr>
          <w:rFonts w:hint="eastAsia"/>
        </w:rPr>
        <w:t>0</w:t>
      </w:r>
      <w:r>
        <w:t>倍 ​。​</w:t>
      </w:r>
    </w:p>
    <w:p w14:paraId="682A7CE9">
      <w:pPr>
        <w:pStyle w:val="32"/>
        <w:ind w:firstLine="420"/>
        <w:rPr>
          <w:rFonts w:hint="eastAsia"/>
        </w:rPr>
      </w:pPr>
      <w:bookmarkStart w:id="282" w:name="OLE_LINK20"/>
      <w:r>
        <w:rPr>
          <w:rFonts w:hint="eastAsia"/>
        </w:rPr>
        <w:t>b</w:t>
      </w:r>
      <w:bookmarkEnd w:id="282"/>
      <w:r>
        <w:rPr>
          <w:rFonts w:hint="eastAsia"/>
        </w:rPr>
        <w:t>）平台</w:t>
      </w:r>
      <w:r>
        <w:t>甲板表面与防滑处理</w:t>
      </w:r>
      <w:r>
        <w:rPr>
          <w:rFonts w:hint="eastAsia"/>
        </w:rPr>
        <w:t>。</w:t>
      </w:r>
      <w:r>
        <w:t>起降</w:t>
      </w:r>
      <w:r>
        <w:rPr>
          <w:rFonts w:hint="eastAsia"/>
        </w:rPr>
        <w:t>平台</w:t>
      </w:r>
      <w:r>
        <w:t>甲板表面必须平整，且必须使用专业的防滑涂层进行处理，并设置有效的排水措施。甲板表面通常采用激光蚀刻微孔结构+ 疏水纳米涂层，兼顾防滑系数（干态≥0.7，湿态≥0.5）与排水效率（暴雨工况下积水滞留时间＜30秒）</w:t>
      </w:r>
      <w:r>
        <w:rPr>
          <w:rFonts w:hint="eastAsia"/>
        </w:rPr>
        <w:t>。</w:t>
      </w:r>
    </w:p>
    <w:p w14:paraId="346115F5">
      <w:pPr>
        <w:pStyle w:val="32"/>
        <w:ind w:firstLine="0" w:firstLineChars="0"/>
        <w:rPr>
          <w:rFonts w:hint="eastAsia"/>
        </w:rPr>
      </w:pPr>
      <w:r>
        <w:rPr>
          <w:rFonts w:hint="eastAsia"/>
        </w:rPr>
        <w:t xml:space="preserve">4.4.3.3 </w:t>
      </w:r>
      <w:r>
        <w:t>起降平台</w:t>
      </w:r>
      <w:r>
        <w:rPr>
          <w:rFonts w:hint="eastAsia"/>
        </w:rPr>
        <w:t>适应性改造</w:t>
      </w:r>
    </w:p>
    <w:p w14:paraId="2E2A4430">
      <w:pPr>
        <w:pStyle w:val="32"/>
        <w:ind w:firstLine="420"/>
        <w:rPr>
          <w:rFonts w:hint="eastAsia"/>
        </w:rPr>
      </w:pPr>
      <w:r>
        <w:rPr>
          <w:rFonts w:hint="eastAsia"/>
        </w:rPr>
        <w:t xml:space="preserve">a) </w:t>
      </w:r>
      <w:r>
        <w:t>环境适应性</w:t>
      </w:r>
      <w:r>
        <w:rPr>
          <w:rFonts w:hint="eastAsia"/>
        </w:rPr>
        <w:t>。</w:t>
      </w:r>
      <w:r>
        <w:t>平台能在典型的海洋高湿、宽温环境下正常工作</w:t>
      </w:r>
      <w:r>
        <w:rPr>
          <w:rFonts w:hint="eastAsia"/>
        </w:rPr>
        <w:t>，</w:t>
      </w:r>
      <w:r>
        <w:t>能抵御雨水和海浪冲刷。电子设备舱的防护等级应不低于IP67</w:t>
      </w:r>
      <w:r>
        <w:rPr>
          <w:rFonts w:hint="eastAsia"/>
        </w:rPr>
        <w:t>，防护等级执行</w:t>
      </w:r>
      <w:r>
        <w:t>GB/T 4208-2017</w:t>
      </w:r>
      <w:r>
        <w:rPr>
          <w:rFonts w:hint="eastAsia"/>
        </w:rPr>
        <w:t>要求</w:t>
      </w:r>
      <w:r>
        <w:t>。所有暴露在外的结构件和电子元件必须通过严格的盐雾试验</w:t>
      </w:r>
      <w:r>
        <w:rPr>
          <w:rFonts w:hint="eastAsia"/>
        </w:rPr>
        <w:t>，</w:t>
      </w:r>
      <w:r>
        <w:t>应符合GB/T 2423.17-2024的标准。平台自身不</w:t>
      </w:r>
      <w:r>
        <w:rPr>
          <w:rFonts w:hint="eastAsia"/>
        </w:rPr>
        <w:t>应</w:t>
      </w:r>
      <w:r>
        <w:t>对船载通信、导航雷达等敏感设备产生干扰，同时也能抵抗船上复杂的电磁环境</w:t>
      </w:r>
      <w:r>
        <w:rPr>
          <w:rFonts w:hint="eastAsia"/>
        </w:rPr>
        <w:t>，</w:t>
      </w:r>
      <w:r>
        <w:t>电磁兼容性测试应符合GB/T 17626</w:t>
      </w:r>
      <w:r>
        <w:rPr>
          <w:rFonts w:hint="eastAsia"/>
        </w:rPr>
        <w:t>的相关要求</w:t>
      </w:r>
      <w:r>
        <w:t>。</w:t>
      </w:r>
    </w:p>
    <w:p w14:paraId="6A7364CC">
      <w:pPr>
        <w:pStyle w:val="32"/>
        <w:ind w:firstLine="420"/>
        <w:rPr>
          <w:rFonts w:hint="eastAsia"/>
        </w:rPr>
      </w:pPr>
      <w:r>
        <w:rPr>
          <w:rFonts w:hint="eastAsia"/>
        </w:rPr>
        <w:t>b) 平台搭建。宜由可拆卸</w:t>
      </w:r>
      <w:r>
        <w:t>可重复使用</w:t>
      </w:r>
      <w:r>
        <w:rPr>
          <w:rFonts w:hint="eastAsia"/>
        </w:rPr>
        <w:t>的</w:t>
      </w:r>
      <w:r>
        <w:t>轻质钢、铝合金、多层胶合板等耐海水腐蚀的材料拼接搭建</w:t>
      </w:r>
      <w:r>
        <w:rPr>
          <w:rFonts w:hint="eastAsia"/>
        </w:rPr>
        <w:t>，</w:t>
      </w:r>
      <w:r>
        <w:t>支架通体采用组装式结构</w:t>
      </w:r>
      <w:r>
        <w:rPr>
          <w:rFonts w:hint="eastAsia"/>
        </w:rPr>
        <w:t>，材质采用</w:t>
      </w:r>
      <w:r>
        <w:t>欧标工业铝合金</w:t>
      </w:r>
      <w:r>
        <w:rPr>
          <w:rFonts w:hint="eastAsia"/>
        </w:rPr>
        <w:t>。铝合金结构执行</w:t>
      </w:r>
      <w:r>
        <w:t>GB 50429-2007</w:t>
      </w:r>
      <w:r>
        <w:rPr>
          <w:rFonts w:hint="eastAsia"/>
        </w:rPr>
        <w:t>标准。</w:t>
      </w:r>
    </w:p>
    <w:p w14:paraId="334F7B97">
      <w:pPr>
        <w:pStyle w:val="32"/>
        <w:ind w:firstLine="0" w:firstLineChars="0"/>
        <w:rPr>
          <w:rFonts w:hint="eastAsia"/>
        </w:rPr>
      </w:pPr>
      <w:r>
        <w:rPr>
          <w:rFonts w:hint="eastAsia"/>
        </w:rPr>
        <w:t xml:space="preserve">4.4.3.4 </w:t>
      </w:r>
      <w:r>
        <w:t>辅助设施</w:t>
      </w:r>
    </w:p>
    <w:p w14:paraId="0B45111F">
      <w:pPr>
        <w:pStyle w:val="32"/>
        <w:ind w:firstLine="420"/>
        <w:rPr>
          <w:rFonts w:hint="eastAsia"/>
        </w:rPr>
      </w:pPr>
      <w:r>
        <w:rPr>
          <w:rFonts w:hint="eastAsia"/>
        </w:rPr>
        <w:t xml:space="preserve">a) </w:t>
      </w:r>
      <w:r>
        <w:t>标识与灯光：起降区应有清晰的标识（如“</w:t>
      </w:r>
      <w:r>
        <w:rPr>
          <w:rFonts w:hint="eastAsia"/>
        </w:rPr>
        <w:t>V</w:t>
      </w:r>
      <w:r>
        <w:t>”标记、边界线），并配备可在夜间或低能见度条件下使用的照明系统，部分系统可能需要符合特定光谱（如红外）的助降灯光，以配合无人</w:t>
      </w:r>
      <w:r>
        <w:rPr>
          <w:rFonts w:hint="eastAsia"/>
        </w:rPr>
        <w:t>机</w:t>
      </w:r>
      <w:r>
        <w:t>的视觉引导系统。</w:t>
      </w:r>
    </w:p>
    <w:p w14:paraId="73AE8DC1">
      <w:pPr>
        <w:pStyle w:val="32"/>
        <w:ind w:firstLine="420"/>
        <w:rPr>
          <w:rFonts w:hint="eastAsia"/>
        </w:rPr>
      </w:pPr>
      <w:r>
        <w:rPr>
          <w:rFonts w:hint="eastAsia"/>
        </w:rPr>
        <w:t xml:space="preserve">b) </w:t>
      </w:r>
      <w:r>
        <w:t>消防与应急设备：船上必须配备针对锂离子电池火灾等情况的救援与消防设备。起降区附近应配备适用的消防器材，以应对可能发生的电池起火等紧急情况。</w:t>
      </w:r>
    </w:p>
    <w:p w14:paraId="0CD29F26">
      <w:pPr>
        <w:pStyle w:val="32"/>
        <w:ind w:firstLine="420"/>
        <w:rPr>
          <w:rFonts w:hint="eastAsia"/>
        </w:rPr>
      </w:pPr>
      <w:r>
        <w:rPr>
          <w:rFonts w:hint="eastAsia"/>
        </w:rPr>
        <w:t xml:space="preserve">c) </w:t>
      </w:r>
      <w:r>
        <w:t>安全</w:t>
      </w:r>
      <w:r>
        <w:rPr>
          <w:rFonts w:hint="eastAsia"/>
        </w:rPr>
        <w:t>设施</w:t>
      </w:r>
      <w:r>
        <w:t>：应在起降区周围设置安全警示标志，并在起降作业期间设立禁区，禁止无关人员进入。甲板边缘</w:t>
      </w:r>
      <w:r>
        <w:rPr>
          <w:rFonts w:hint="eastAsia"/>
        </w:rPr>
        <w:t>宜</w:t>
      </w:r>
      <w:r>
        <w:t>加装高度不小于10厘米的防坠挡边或防护网，防止无人</w:t>
      </w:r>
      <w:r>
        <w:rPr>
          <w:rFonts w:hint="eastAsia"/>
        </w:rPr>
        <w:t>机</w:t>
      </w:r>
      <w:r>
        <w:t>因侧滑或翻滚意外落海。</w:t>
      </w:r>
    </w:p>
    <w:p w14:paraId="5B725BC1">
      <w:pPr>
        <w:pStyle w:val="37"/>
        <w:spacing w:before="240" w:after="240"/>
        <w:rPr>
          <w:rFonts w:hint="eastAsia"/>
        </w:rPr>
      </w:pPr>
      <w:bookmarkStart w:id="283" w:name="_bookmark4"/>
      <w:bookmarkEnd w:id="283"/>
      <w:bookmarkStart w:id="284" w:name="4_总体要求"/>
      <w:bookmarkEnd w:id="284"/>
      <w:bookmarkStart w:id="285" w:name="_Toc228825846"/>
      <w:bookmarkStart w:id="286" w:name="_Toc228824550"/>
      <w:bookmarkStart w:id="287" w:name="_Toc228826457"/>
      <w:bookmarkStart w:id="288" w:name="_Toc228826583"/>
      <w:bookmarkStart w:id="289" w:name="_Toc228825713"/>
      <w:r>
        <w:rPr>
          <w:rFonts w:hint="eastAsia"/>
        </w:rPr>
        <w:t xml:space="preserve">5 </w:t>
      </w:r>
      <w:r>
        <w:t>作业前准备</w:t>
      </w:r>
      <w:bookmarkEnd w:id="285"/>
      <w:bookmarkEnd w:id="286"/>
      <w:bookmarkEnd w:id="287"/>
      <w:bookmarkEnd w:id="288"/>
      <w:bookmarkEnd w:id="289"/>
    </w:p>
    <w:p w14:paraId="0E908032">
      <w:pPr>
        <w:pStyle w:val="38"/>
      </w:pPr>
      <w:bookmarkStart w:id="290" w:name="_Toc228825714"/>
      <w:bookmarkStart w:id="291" w:name="_Toc228826584"/>
      <w:bookmarkStart w:id="292" w:name="_Toc228826458"/>
      <w:bookmarkStart w:id="293" w:name="_Toc228824551"/>
      <w:bookmarkStart w:id="294" w:name="_Toc228825847"/>
      <w:r>
        <w:rPr>
          <w:rFonts w:hint="eastAsia"/>
        </w:rPr>
        <w:t>5.1</w:t>
      </w:r>
      <w:bookmarkStart w:id="295" w:name="_Toc122512927"/>
      <w:r>
        <w:rPr>
          <w:rFonts w:hint="eastAsia"/>
        </w:rPr>
        <w:t xml:space="preserve"> 飞行计划</w:t>
      </w:r>
      <w:bookmarkEnd w:id="295"/>
      <w:r>
        <w:rPr>
          <w:rFonts w:hint="eastAsia"/>
        </w:rPr>
        <w:t>与</w:t>
      </w:r>
      <w:r>
        <w:t>空域检查</w:t>
      </w:r>
      <w:bookmarkEnd w:id="290"/>
      <w:bookmarkEnd w:id="291"/>
      <w:bookmarkEnd w:id="292"/>
      <w:bookmarkEnd w:id="293"/>
      <w:bookmarkEnd w:id="294"/>
    </w:p>
    <w:p w14:paraId="656C65C2">
      <w:pPr>
        <w:pStyle w:val="32"/>
        <w:ind w:firstLine="0" w:firstLineChars="0"/>
        <w:rPr>
          <w:rFonts w:hint="eastAsia"/>
        </w:rPr>
      </w:pPr>
      <w:bookmarkStart w:id="296" w:name="_Toc228825848"/>
      <w:bookmarkStart w:id="297" w:name="_Toc228824552"/>
      <w:bookmarkStart w:id="298" w:name="_Toc228825715"/>
      <w:r>
        <w:t>5.1.1 飞行计划</w:t>
      </w:r>
      <w:bookmarkEnd w:id="296"/>
      <w:bookmarkEnd w:id="297"/>
      <w:bookmarkEnd w:id="298"/>
    </w:p>
    <w:p w14:paraId="62B128F5">
      <w:pPr>
        <w:pStyle w:val="32"/>
        <w:ind w:firstLine="420"/>
        <w:rPr>
          <w:rFonts w:hint="eastAsia"/>
        </w:rPr>
      </w:pPr>
      <w:r>
        <w:t>作业前组织全体作业人员和船方协调员召开安全技术交底会。会议内容应至少包括：本次任务的飞行计划（航线、高度、作业区域）、气象海况条件、作业流程、人员分工与职责、与船方（驾驶台、甲板部）的通信方式和联络信号。</w:t>
      </w:r>
      <w:r>
        <w:rPr>
          <w:rFonts w:hint="eastAsia"/>
        </w:rPr>
        <w:t>同时，做好以下飞行计划准备：无人机操控员负责提出飞行需求；无人机观测员掌握船舶航行计划；安全员负责确认无人机飞行作业的可行性，并向船长汇报；每次飞行前应进行航线规划，飞行航线应经船长确认。</w:t>
      </w:r>
    </w:p>
    <w:p w14:paraId="05B5B872">
      <w:pPr>
        <w:pStyle w:val="32"/>
        <w:ind w:firstLine="0" w:firstLineChars="0"/>
        <w:rPr>
          <w:rFonts w:hint="eastAsia"/>
        </w:rPr>
      </w:pPr>
      <w:bookmarkStart w:id="299" w:name="_Toc228824553"/>
      <w:bookmarkStart w:id="300" w:name="_Toc228825849"/>
      <w:bookmarkStart w:id="301" w:name="_Toc228825716"/>
      <w:r>
        <w:t>5.1.2 空域检查</w:t>
      </w:r>
      <w:bookmarkEnd w:id="299"/>
      <w:bookmarkEnd w:id="300"/>
      <w:bookmarkEnd w:id="301"/>
    </w:p>
    <w:p w14:paraId="1D94F257">
      <w:pPr>
        <w:pStyle w:val="32"/>
        <w:ind w:firstLine="420"/>
        <w:rPr>
          <w:rFonts w:hint="eastAsia"/>
        </w:rPr>
      </w:pPr>
      <w:r>
        <w:rPr>
          <w:rFonts w:hint="eastAsia"/>
        </w:rPr>
        <w:t>作业前应做好以下飞行空域检查：确保符合4.1规定要求；预定飞行区域内有500m以下无人机低空飞行时，</w:t>
      </w:r>
      <w:r>
        <w:t>主动避让其他航空器，根据目视或感知情况保持安全距离</w:t>
      </w:r>
      <w:r>
        <w:rPr>
          <w:rFonts w:hint="eastAsia"/>
        </w:rPr>
        <w:t xml:space="preserve">。 </w:t>
      </w:r>
    </w:p>
    <w:p w14:paraId="5D08B97D">
      <w:pPr>
        <w:pStyle w:val="38"/>
      </w:pPr>
      <w:bookmarkStart w:id="302" w:name="_Toc228825717"/>
      <w:bookmarkStart w:id="303" w:name="_Toc228824554"/>
      <w:bookmarkStart w:id="304" w:name="_Toc228826585"/>
      <w:bookmarkStart w:id="305" w:name="_Toc228826459"/>
      <w:bookmarkStart w:id="306" w:name="_Toc228825850"/>
      <w:r>
        <w:rPr>
          <w:rFonts w:hint="eastAsia"/>
        </w:rPr>
        <w:t>5</w:t>
      </w:r>
      <w:r>
        <w:t>.</w:t>
      </w:r>
      <w:r>
        <w:rPr>
          <w:rFonts w:hint="eastAsia"/>
        </w:rPr>
        <w:t>2</w:t>
      </w:r>
      <w:r>
        <w:t xml:space="preserve"> 环境检查</w:t>
      </w:r>
      <w:bookmarkEnd w:id="302"/>
      <w:bookmarkEnd w:id="303"/>
      <w:bookmarkEnd w:id="304"/>
      <w:bookmarkEnd w:id="305"/>
      <w:bookmarkEnd w:id="306"/>
    </w:p>
    <w:p w14:paraId="32B666D7">
      <w:pPr>
        <w:pStyle w:val="32"/>
        <w:ind w:firstLine="420"/>
        <w:rPr>
          <w:rFonts w:hint="eastAsia"/>
        </w:rPr>
      </w:pPr>
      <w:r>
        <w:rPr>
          <w:rFonts w:hint="eastAsia"/>
        </w:rPr>
        <w:t>作业前应做好</w:t>
      </w:r>
      <w:r>
        <w:t>海况与气象条件评估</w:t>
      </w:r>
      <w:r>
        <w:rPr>
          <w:rFonts w:hint="eastAsia"/>
        </w:rPr>
        <w:t>与观测：</w:t>
      </w:r>
      <w:r>
        <w:t>获取作业海区未来6小时的天气预报，并使用船载或手持式气象设备对现场气象条件进行实测确认。观测方法按GB/T 12763.3、GB/T 17838和GB/T 19721.2标准执行。对于不同</w:t>
      </w:r>
      <w:r>
        <w:rPr>
          <w:rFonts w:hint="eastAsia"/>
        </w:rPr>
        <w:t>品牌和</w:t>
      </w:r>
      <w:r>
        <w:t>型号的无人</w:t>
      </w:r>
      <w:r>
        <w:rPr>
          <w:rFonts w:hint="eastAsia"/>
        </w:rPr>
        <w:t>机</w:t>
      </w:r>
      <w:r>
        <w:t>，应严格遵守其产品说明书中关于</w:t>
      </w:r>
      <w:r>
        <w:rPr>
          <w:rFonts w:hint="eastAsia"/>
        </w:rPr>
        <w:t>最大抗风、</w:t>
      </w:r>
      <w:r>
        <w:t>最大抗浪的限制要求，并选择</w:t>
      </w:r>
      <w:r>
        <w:rPr>
          <w:rFonts w:hint="eastAsia"/>
        </w:rPr>
        <w:t>最</w:t>
      </w:r>
      <w:r>
        <w:t>严格的条件执行。</w:t>
      </w:r>
    </w:p>
    <w:p w14:paraId="00962895">
      <w:pPr>
        <w:pStyle w:val="32"/>
        <w:ind w:firstLine="0" w:firstLineChars="0"/>
        <w:rPr>
          <w:rFonts w:hint="eastAsia"/>
        </w:rPr>
      </w:pPr>
      <w:bookmarkStart w:id="307" w:name="_Toc228825718"/>
      <w:bookmarkStart w:id="308" w:name="_Toc228824555"/>
      <w:bookmarkStart w:id="309" w:name="_Toc228825851"/>
      <w:bookmarkStart w:id="310" w:name="OLE_LINK14"/>
      <w:r>
        <w:t>5.2.1 气象和海况条件</w:t>
      </w:r>
      <w:bookmarkEnd w:id="307"/>
      <w:bookmarkEnd w:id="308"/>
      <w:bookmarkEnd w:id="309"/>
    </w:p>
    <w:bookmarkEnd w:id="310"/>
    <w:p w14:paraId="1CB2C7FF">
      <w:pPr>
        <w:pStyle w:val="32"/>
        <w:ind w:firstLine="420"/>
        <w:rPr>
          <w:rFonts w:hint="eastAsia"/>
        </w:rPr>
      </w:pPr>
      <w:r>
        <w:rPr>
          <w:rFonts w:hint="eastAsia"/>
        </w:rPr>
        <w:t>气象和海况的观测执行</w:t>
      </w:r>
      <w:r>
        <w:t>GB/T 12763.3</w:t>
      </w:r>
      <w:r>
        <w:rPr>
          <w:rFonts w:hint="eastAsia"/>
        </w:rPr>
        <w:t>和</w:t>
      </w:r>
      <w:r>
        <w:t>GB/T 17838</w:t>
      </w:r>
      <w:r>
        <w:rPr>
          <w:rFonts w:hint="eastAsia"/>
        </w:rPr>
        <w:t>。</w:t>
      </w:r>
    </w:p>
    <w:p w14:paraId="144E7A56">
      <w:pPr>
        <w:pStyle w:val="32"/>
        <w:ind w:firstLine="0" w:firstLineChars="0"/>
        <w:rPr>
          <w:rFonts w:hint="eastAsia"/>
        </w:rPr>
      </w:pPr>
      <w:r>
        <w:rPr>
          <w:rFonts w:hint="eastAsia"/>
        </w:rPr>
        <w:t>5.2.1.1 风力</w:t>
      </w:r>
    </w:p>
    <w:p w14:paraId="59D7A342">
      <w:pPr>
        <w:pStyle w:val="32"/>
        <w:ind w:firstLine="420"/>
        <w:rPr>
          <w:rFonts w:hint="eastAsia"/>
        </w:rPr>
      </w:pPr>
      <w:r>
        <w:t>推荐理想作业条件</w:t>
      </w:r>
      <w:r>
        <w:rPr>
          <w:rFonts w:hint="eastAsia"/>
        </w:rPr>
        <w:t>为</w:t>
      </w:r>
      <w:r>
        <w:t>风</w:t>
      </w:r>
      <w:r>
        <w:rPr>
          <w:rFonts w:hint="eastAsia"/>
        </w:rPr>
        <w:t>力</w:t>
      </w:r>
      <w:r>
        <w:t>≤</w:t>
      </w:r>
      <w:r>
        <w:rPr>
          <w:rFonts w:hint="eastAsia"/>
        </w:rPr>
        <w:t>4</w:t>
      </w:r>
      <w:r>
        <w:t>级</w:t>
      </w:r>
      <w:r>
        <w:rPr>
          <w:rFonts w:hint="eastAsia"/>
        </w:rPr>
        <w:t>（风速</w:t>
      </w:r>
      <w:r>
        <w:t>≤</w:t>
      </w:r>
      <w:r>
        <w:rPr>
          <w:rFonts w:hint="eastAsia"/>
        </w:rPr>
        <w:t>7.9米/秒）。</w:t>
      </w:r>
      <w:r>
        <w:t>当风力超过无人机系统标称的抗风能力时，</w:t>
      </w:r>
      <w:bookmarkStart w:id="311" w:name="OLE_LINK27"/>
      <w:r>
        <w:t>不</w:t>
      </w:r>
      <w:r>
        <w:rPr>
          <w:rFonts w:hint="eastAsia"/>
        </w:rPr>
        <w:t>宜</w:t>
      </w:r>
      <w:r>
        <w:t>进行</w:t>
      </w:r>
      <w:r>
        <w:rPr>
          <w:rFonts w:hint="eastAsia"/>
        </w:rPr>
        <w:t>无人机</w:t>
      </w:r>
      <w:r>
        <w:t>起降作业。</w:t>
      </w:r>
      <w:bookmarkEnd w:id="311"/>
      <w:r>
        <w:t>风速观测</w:t>
      </w:r>
      <w:r>
        <w:rPr>
          <w:rFonts w:hint="eastAsia"/>
        </w:rPr>
        <w:t>可</w:t>
      </w:r>
      <w:r>
        <w:t>使用风速计在甲板起降区上风向约1.5米高度处测量风速。</w:t>
      </w:r>
      <w:r>
        <w:rPr>
          <w:rFonts w:hint="eastAsia"/>
        </w:rPr>
        <w:t>风力等级按</w:t>
      </w:r>
      <w:r>
        <w:t>GB/T 28591</w:t>
      </w:r>
      <w:r>
        <w:rPr>
          <w:rFonts w:hint="eastAsia"/>
        </w:rPr>
        <w:t>的规定执行。</w:t>
      </w:r>
    </w:p>
    <w:p w14:paraId="701C04BD">
      <w:pPr>
        <w:pStyle w:val="32"/>
        <w:ind w:firstLine="0" w:firstLineChars="0"/>
        <w:rPr>
          <w:rFonts w:hint="eastAsia"/>
        </w:rPr>
      </w:pPr>
      <w:bookmarkStart w:id="312" w:name="OLE_LINK32"/>
      <w:r>
        <w:rPr>
          <w:rFonts w:hint="eastAsia"/>
        </w:rPr>
        <w:t>5.2.1.2</w:t>
      </w:r>
      <w:bookmarkEnd w:id="312"/>
      <w:r>
        <w:rPr>
          <w:rFonts w:hint="eastAsia"/>
        </w:rPr>
        <w:t xml:space="preserve"> 海况</w:t>
      </w:r>
    </w:p>
    <w:p w14:paraId="7835310F">
      <w:pPr>
        <w:pStyle w:val="32"/>
        <w:ind w:firstLine="420"/>
        <w:rPr>
          <w:rFonts w:hint="eastAsia"/>
        </w:rPr>
      </w:pPr>
      <w:r>
        <w:t>推荐理想作业条件为海况≤</w:t>
      </w:r>
      <w:r>
        <w:rPr>
          <w:rFonts w:hint="eastAsia"/>
        </w:rPr>
        <w:t>2</w:t>
      </w:r>
      <w:r>
        <w:t>级</w:t>
      </w:r>
      <w:r>
        <w:rPr>
          <w:rFonts w:hint="eastAsia"/>
        </w:rPr>
        <w:t>（有效波波高&lt;1.25米，有微浪、小浪或轻浪）。当海况等级超过4级（</w:t>
      </w:r>
      <w:r>
        <w:t>中浪以上</w:t>
      </w:r>
      <w:r>
        <w:rPr>
          <w:rFonts w:hint="eastAsia"/>
        </w:rPr>
        <w:t>、有效波波高&gt;2.5米或浪高超过3米）</w:t>
      </w:r>
      <w:r>
        <w:t>时</w:t>
      </w:r>
      <w:r>
        <w:rPr>
          <w:rFonts w:hint="eastAsia"/>
        </w:rPr>
        <w:t>，</w:t>
      </w:r>
      <w:r>
        <w:t>不宜进行无人机起降作业。</w:t>
      </w:r>
      <w:r>
        <w:rPr>
          <w:rFonts w:hint="eastAsia"/>
        </w:rPr>
        <w:t>海况观测可</w:t>
      </w:r>
      <w:r>
        <w:t>通过目视或船载设备观测海浪情况</w:t>
      </w:r>
      <w:r>
        <w:rPr>
          <w:rFonts w:hint="eastAsia"/>
        </w:rPr>
        <w:t>，</w:t>
      </w:r>
      <w:r>
        <w:t>海浪等级</w:t>
      </w:r>
      <w:r>
        <w:rPr>
          <w:rFonts w:hint="eastAsia"/>
        </w:rPr>
        <w:t>按</w:t>
      </w:r>
      <w:r>
        <w:t>GB/T 42176</w:t>
      </w:r>
      <w:r>
        <w:rPr>
          <w:rFonts w:hint="eastAsia"/>
        </w:rPr>
        <w:t>的规定执行。</w:t>
      </w:r>
    </w:p>
    <w:p w14:paraId="2B15F43C">
      <w:pPr>
        <w:pStyle w:val="32"/>
        <w:ind w:firstLine="0" w:firstLineChars="0"/>
        <w:rPr>
          <w:rFonts w:hint="eastAsia"/>
        </w:rPr>
      </w:pPr>
      <w:r>
        <w:rPr>
          <w:rFonts w:hint="eastAsia"/>
        </w:rPr>
        <w:t xml:space="preserve">5.2.1.3 </w:t>
      </w:r>
      <w:r>
        <w:t>能见度</w:t>
      </w:r>
    </w:p>
    <w:p w14:paraId="5AC1F46F">
      <w:pPr>
        <w:pStyle w:val="32"/>
        <w:ind w:firstLine="420"/>
        <w:rPr>
          <w:rFonts w:hint="eastAsia"/>
        </w:rPr>
      </w:pPr>
      <w:r>
        <w:t>推荐理想作业条件</w:t>
      </w:r>
      <w:r>
        <w:rPr>
          <w:rFonts w:hint="eastAsia"/>
        </w:rPr>
        <w:t>为</w:t>
      </w:r>
      <w:r>
        <w:t>能见度≥10km</w:t>
      </w:r>
      <w:r>
        <w:rPr>
          <w:rFonts w:hint="eastAsia"/>
        </w:rPr>
        <w:t>。</w:t>
      </w:r>
      <w:bookmarkStart w:id="313" w:name="OLE_LINK49"/>
      <w:r>
        <w:t>视距内飞行</w:t>
      </w:r>
      <w:r>
        <w:rPr>
          <w:rFonts w:hint="eastAsia"/>
        </w:rPr>
        <w:t>的</w:t>
      </w:r>
      <w:r>
        <w:t>能见度≥1km​</w:t>
      </w:r>
      <w:r>
        <w:rPr>
          <w:rFonts w:hint="eastAsia"/>
        </w:rPr>
        <w:t>（轻雾）</w:t>
      </w:r>
      <w:r>
        <w:t>。</w:t>
      </w:r>
      <w:bookmarkEnd w:id="313"/>
      <w:r>
        <w:rPr>
          <w:rFonts w:hint="eastAsia"/>
        </w:rPr>
        <w:t>作业区域有大雾浓雾或</w:t>
      </w:r>
      <w:r>
        <w:t>海面有效能见度</w:t>
      </w:r>
      <w:r>
        <w:rPr>
          <w:rFonts w:hint="eastAsia"/>
        </w:rPr>
        <w:t>（</w:t>
      </w:r>
      <w:r>
        <w:t>海天交界线清晰程度</w:t>
      </w:r>
      <w:r>
        <w:rPr>
          <w:rFonts w:hint="eastAsia"/>
        </w:rPr>
        <w:t>）</w:t>
      </w:r>
      <w:r>
        <w:t>为“完全看不清”时不应起飞。能见度</w:t>
      </w:r>
      <w:r>
        <w:rPr>
          <w:rFonts w:hint="eastAsia"/>
        </w:rPr>
        <w:t>等级</w:t>
      </w:r>
      <w:bookmarkStart w:id="314" w:name="OLE_LINK30"/>
      <w:r>
        <w:rPr>
          <w:rFonts w:hint="eastAsia"/>
        </w:rPr>
        <w:t>执行</w:t>
      </w:r>
      <w:bookmarkEnd w:id="314"/>
      <w:r>
        <w:t>GB/T 27964</w:t>
      </w:r>
      <w:r>
        <w:rPr>
          <w:rFonts w:hint="eastAsia"/>
        </w:rPr>
        <w:t>。</w:t>
      </w:r>
    </w:p>
    <w:p w14:paraId="1D2AD776">
      <w:pPr>
        <w:pStyle w:val="32"/>
        <w:ind w:firstLine="0" w:firstLineChars="0"/>
        <w:rPr>
          <w:rFonts w:hint="eastAsia"/>
        </w:rPr>
      </w:pPr>
      <w:r>
        <w:t>5.2.1.</w:t>
      </w:r>
      <w:r>
        <w:rPr>
          <w:rFonts w:hint="eastAsia"/>
        </w:rPr>
        <w:t>4 雨雪</w:t>
      </w:r>
      <w:r>
        <w:t>雷电</w:t>
      </w:r>
    </w:p>
    <w:p w14:paraId="5B992133">
      <w:pPr>
        <w:pStyle w:val="32"/>
        <w:ind w:firstLine="420"/>
        <w:rPr>
          <w:rFonts w:hint="eastAsia"/>
        </w:rPr>
      </w:pPr>
      <w:r>
        <w:t>推荐理想作业条件为无降水</w:t>
      </w:r>
      <w:r>
        <w:rPr>
          <w:rFonts w:hint="eastAsia"/>
        </w:rPr>
        <w:t>、无降雪、无雷电</w:t>
      </w:r>
      <w:r>
        <w:t>。降雨量等级为中雨及以上</w:t>
      </w:r>
      <w:r>
        <w:rPr>
          <w:rFonts w:hint="eastAsia"/>
        </w:rPr>
        <w:t>（12小时降雨量超过5.0毫米）、有降雪或有雷电等极端天气</w:t>
      </w:r>
      <w:r>
        <w:t>时不</w:t>
      </w:r>
      <w:r>
        <w:rPr>
          <w:rFonts w:hint="eastAsia"/>
        </w:rPr>
        <w:t>应</w:t>
      </w:r>
      <w:r>
        <w:t>起飞。</w:t>
      </w:r>
      <w:r>
        <w:rPr>
          <w:rFonts w:hint="eastAsia"/>
        </w:rPr>
        <w:t>降雨降雪等级执行</w:t>
      </w:r>
      <w:r>
        <w:t>GBT 28592</w:t>
      </w:r>
      <w:r>
        <w:rPr>
          <w:rFonts w:hint="eastAsia"/>
        </w:rPr>
        <w:t>，雷电观测执行</w:t>
      </w:r>
      <w:r>
        <w:t>GB/T 3812</w:t>
      </w:r>
      <w:r>
        <w:rPr>
          <w:rFonts w:hint="eastAsia"/>
        </w:rPr>
        <w:t>1。</w:t>
      </w:r>
    </w:p>
    <w:p w14:paraId="4F5FC4FB">
      <w:pPr>
        <w:pStyle w:val="32"/>
        <w:ind w:firstLine="0" w:firstLineChars="0"/>
        <w:rPr>
          <w:rFonts w:hint="eastAsia"/>
        </w:rPr>
      </w:pPr>
      <w:r>
        <w:t>5.2.1.</w:t>
      </w:r>
      <w:r>
        <w:rPr>
          <w:rFonts w:hint="eastAsia"/>
        </w:rPr>
        <w:t>5 温湿度</w:t>
      </w:r>
    </w:p>
    <w:p w14:paraId="626AF2F5">
      <w:pPr>
        <w:pStyle w:val="32"/>
        <w:ind w:firstLine="420"/>
        <w:rPr>
          <w:rFonts w:hint="eastAsia"/>
        </w:rPr>
      </w:pPr>
      <w:r>
        <w:rPr>
          <w:rFonts w:hint="eastAsia"/>
        </w:rPr>
        <w:t>执行</w:t>
      </w:r>
      <w:r>
        <w:t>无人机系统制造商说明书中关于湿度限制</w:t>
      </w:r>
      <w:r>
        <w:rPr>
          <w:rFonts w:hint="eastAsia"/>
        </w:rPr>
        <w:t>的要求。</w:t>
      </w:r>
    </w:p>
    <w:p w14:paraId="47A09850">
      <w:pPr>
        <w:pStyle w:val="32"/>
        <w:ind w:firstLine="0" w:firstLineChars="0"/>
        <w:rPr>
          <w:rFonts w:hint="eastAsia"/>
        </w:rPr>
      </w:pPr>
      <w:bookmarkStart w:id="315" w:name="_Toc228824556"/>
      <w:bookmarkStart w:id="316" w:name="_Toc228825719"/>
      <w:bookmarkStart w:id="317" w:name="_Toc228825852"/>
      <w:r>
        <w:t>5.2.2 电磁环境条件</w:t>
      </w:r>
      <w:bookmarkEnd w:id="315"/>
      <w:bookmarkEnd w:id="316"/>
      <w:bookmarkEnd w:id="317"/>
    </w:p>
    <w:p w14:paraId="0CD8E6A3">
      <w:pPr>
        <w:pStyle w:val="32"/>
        <w:ind w:firstLine="420"/>
        <w:rPr>
          <w:rFonts w:hint="eastAsia"/>
        </w:rPr>
      </w:pPr>
      <w:r>
        <w:t>电磁环境</w:t>
      </w:r>
      <w:r>
        <w:rPr>
          <w:rFonts w:hint="eastAsia"/>
        </w:rPr>
        <w:t>评估。</w:t>
      </w:r>
      <w:r>
        <w:t>识别船上主要辐射源（如雷达、高频通信设备），并在无人</w:t>
      </w:r>
      <w:r>
        <w:rPr>
          <w:rFonts w:hint="eastAsia"/>
        </w:rPr>
        <w:t>机</w:t>
      </w:r>
      <w:r>
        <w:t>首次上船作业前进行适应性测试。风险评估</w:t>
      </w:r>
      <w:r>
        <w:rPr>
          <w:rFonts w:hint="eastAsia"/>
        </w:rPr>
        <w:t>执行</w:t>
      </w:r>
      <w:r>
        <w:t>GB/T 38659.1</w:t>
      </w:r>
      <w:r>
        <w:rPr>
          <w:rFonts w:hint="eastAsia"/>
        </w:rPr>
        <w:t>和</w:t>
      </w:r>
      <w:bookmarkStart w:id="318" w:name="OLE_LINK34"/>
      <w:r>
        <w:t>GB/Z 37150</w:t>
      </w:r>
      <w:bookmarkEnd w:id="318"/>
      <w:r>
        <w:t>的</w:t>
      </w:r>
      <w:r>
        <w:rPr>
          <w:rFonts w:hint="eastAsia"/>
        </w:rPr>
        <w:t>要求</w:t>
      </w:r>
      <w:r>
        <w:t>。</w:t>
      </w:r>
    </w:p>
    <w:p w14:paraId="2982C585">
      <w:pPr>
        <w:pStyle w:val="38"/>
      </w:pPr>
      <w:bookmarkStart w:id="319" w:name="_Toc228824557"/>
      <w:bookmarkStart w:id="320" w:name="_Toc228826460"/>
      <w:bookmarkStart w:id="321" w:name="_Toc228825853"/>
      <w:bookmarkStart w:id="322" w:name="_Toc228826586"/>
      <w:bookmarkStart w:id="323" w:name="_Toc228825720"/>
      <w:r>
        <w:rPr>
          <w:rFonts w:hint="eastAsia"/>
        </w:rPr>
        <w:t>5</w:t>
      </w:r>
      <w:r>
        <w:t>.</w:t>
      </w:r>
      <w:r>
        <w:rPr>
          <w:rFonts w:hint="eastAsia"/>
        </w:rPr>
        <w:t>3</w:t>
      </w:r>
      <w:r>
        <w:t xml:space="preserve"> 设备检查</w:t>
      </w:r>
      <w:bookmarkEnd w:id="319"/>
      <w:bookmarkEnd w:id="320"/>
      <w:bookmarkEnd w:id="321"/>
      <w:bookmarkEnd w:id="322"/>
      <w:bookmarkEnd w:id="323"/>
    </w:p>
    <w:p w14:paraId="24F36E17">
      <w:pPr>
        <w:pStyle w:val="32"/>
        <w:ind w:firstLine="420"/>
        <w:rPr>
          <w:rFonts w:hint="eastAsia"/>
        </w:rPr>
      </w:pPr>
      <w:r>
        <w:t>无人机系统检查应按照无人机机制造商说明书中规定的程序分别对无人机系统安装、供电与动力装置系统、飞行控制与导航定位系统、控制站与数据链系统等部分进行检查。无人机系统安全性检查应满足GB/T 38931规定的要求。</w:t>
      </w:r>
    </w:p>
    <w:p w14:paraId="3CB3D3CB">
      <w:pPr>
        <w:pStyle w:val="32"/>
        <w:ind w:firstLine="0" w:firstLineChars="0"/>
        <w:rPr>
          <w:rFonts w:hint="eastAsia"/>
        </w:rPr>
      </w:pPr>
      <w:bookmarkStart w:id="324" w:name="_Toc228825721"/>
      <w:bookmarkStart w:id="325" w:name="_Toc228825854"/>
      <w:bookmarkStart w:id="326" w:name="_Toc228824558"/>
      <w:r>
        <w:t>5.3.1 无人机系统安装检查</w:t>
      </w:r>
      <w:bookmarkEnd w:id="324"/>
      <w:bookmarkEnd w:id="325"/>
      <w:bookmarkEnd w:id="326"/>
    </w:p>
    <w:p w14:paraId="698DCD86">
      <w:pPr>
        <w:pStyle w:val="32"/>
        <w:ind w:firstLine="0" w:firstLineChars="0"/>
        <w:rPr>
          <w:rFonts w:hint="eastAsia"/>
        </w:rPr>
      </w:pPr>
      <w:r>
        <w:t>5.</w:t>
      </w:r>
      <w:r>
        <w:rPr>
          <w:rFonts w:hint="eastAsia"/>
        </w:rPr>
        <w:t>3</w:t>
      </w:r>
      <w:r>
        <w:t>.1.</w:t>
      </w:r>
      <w:r>
        <w:rPr>
          <w:rFonts w:hint="eastAsia"/>
        </w:rPr>
        <w:t>1 外观检查</w:t>
      </w:r>
    </w:p>
    <w:p w14:paraId="5D428147">
      <w:pPr>
        <w:pStyle w:val="32"/>
        <w:ind w:firstLine="420"/>
        <w:rPr>
          <w:rFonts w:hint="eastAsia"/>
        </w:rPr>
      </w:pPr>
      <w:r>
        <w:t>应检查</w:t>
      </w:r>
      <w:r>
        <w:rPr>
          <w:rFonts w:hint="eastAsia"/>
        </w:rPr>
        <w:t>无人机</w:t>
      </w:r>
      <w:r>
        <w:t>机身外壳、传感器外罩等部位有无裂纹、变形或腐蚀迹象。特别关注空速管是否通畅、无盐分结晶堵塞。</w:t>
      </w:r>
    </w:p>
    <w:p w14:paraId="29579D31">
      <w:pPr>
        <w:pStyle w:val="32"/>
        <w:ind w:firstLine="0" w:firstLineChars="0"/>
        <w:rPr>
          <w:rFonts w:hint="eastAsia"/>
        </w:rPr>
      </w:pPr>
      <w:r>
        <w:t>5.</w:t>
      </w:r>
      <w:r>
        <w:rPr>
          <w:rFonts w:hint="eastAsia"/>
        </w:rPr>
        <w:t>3</w:t>
      </w:r>
      <w:r>
        <w:t>.1.</w:t>
      </w:r>
      <w:r>
        <w:rPr>
          <w:rFonts w:hint="eastAsia"/>
        </w:rPr>
        <w:t xml:space="preserve">2 </w:t>
      </w:r>
      <w:r>
        <w:t>机体组装</w:t>
      </w:r>
      <w:r>
        <w:rPr>
          <w:rFonts w:hint="eastAsia"/>
        </w:rPr>
        <w:t>检查</w:t>
      </w:r>
    </w:p>
    <w:p w14:paraId="5BE3F333">
      <w:pPr>
        <w:pStyle w:val="32"/>
        <w:ind w:firstLine="420"/>
        <w:rPr>
          <w:rFonts w:hint="eastAsia"/>
        </w:rPr>
      </w:pPr>
      <w:r>
        <w:t>无人</w:t>
      </w:r>
      <w:r>
        <w:rPr>
          <w:rFonts w:hint="eastAsia"/>
        </w:rPr>
        <w:t>机</w:t>
      </w:r>
      <w:r>
        <w:t>机体所有连接件，如旋翼臂锁紧旋钮、机翼快拆搭扣、尾翼固定螺丝等，均应检查并确认锁定到位。应使用专用扭矩扳手检查并紧固所有螺旋桨，确保其安装牢固，能够抵御船舶航行中产生的持续振动。</w:t>
      </w:r>
    </w:p>
    <w:p w14:paraId="6520E878">
      <w:pPr>
        <w:pStyle w:val="32"/>
        <w:ind w:firstLine="0" w:firstLineChars="0"/>
        <w:rPr>
          <w:rFonts w:hint="eastAsia"/>
        </w:rPr>
      </w:pPr>
      <w:r>
        <w:t>5.</w:t>
      </w:r>
      <w:r>
        <w:rPr>
          <w:rFonts w:hint="eastAsia"/>
        </w:rPr>
        <w:t>3</w:t>
      </w:r>
      <w:r>
        <w:t>.1.</w:t>
      </w:r>
      <w:r>
        <w:rPr>
          <w:rFonts w:hint="eastAsia"/>
        </w:rPr>
        <w:t xml:space="preserve">3 </w:t>
      </w:r>
      <w:r>
        <w:t>任务载荷</w:t>
      </w:r>
      <w:r>
        <w:rPr>
          <w:rFonts w:hint="eastAsia"/>
        </w:rPr>
        <w:t>检查</w:t>
      </w:r>
    </w:p>
    <w:p w14:paraId="1D841A82">
      <w:pPr>
        <w:pStyle w:val="32"/>
        <w:ind w:firstLine="420"/>
        <w:rPr>
          <w:rFonts w:hint="eastAsia"/>
        </w:rPr>
      </w:pPr>
      <w:r>
        <w:t>无人机机载任务载荷（如光电吊舱、激光雷达等）应安装稳固，接口连接可靠，镜头洁净。</w:t>
      </w:r>
    </w:p>
    <w:p w14:paraId="24C21354">
      <w:pPr>
        <w:pStyle w:val="32"/>
        <w:ind w:firstLine="0" w:firstLineChars="0"/>
        <w:rPr>
          <w:rFonts w:hint="eastAsia"/>
        </w:rPr>
      </w:pPr>
      <w:r>
        <w:t>5.</w:t>
      </w:r>
      <w:r>
        <w:rPr>
          <w:rFonts w:hint="eastAsia"/>
        </w:rPr>
        <w:t>3</w:t>
      </w:r>
      <w:r>
        <w:t>.1.</w:t>
      </w:r>
      <w:r>
        <w:rPr>
          <w:rFonts w:hint="eastAsia"/>
        </w:rPr>
        <w:t xml:space="preserve">4 </w:t>
      </w:r>
      <w:r>
        <w:t>防水防盐雾</w:t>
      </w:r>
      <w:r>
        <w:rPr>
          <w:rFonts w:hint="eastAsia"/>
        </w:rPr>
        <w:t>性能检查</w:t>
      </w:r>
    </w:p>
    <w:p w14:paraId="4FD04CA8">
      <w:pPr>
        <w:pStyle w:val="32"/>
        <w:ind w:firstLine="420"/>
        <w:rPr>
          <w:rFonts w:hint="eastAsia"/>
        </w:rPr>
      </w:pPr>
      <w:r>
        <w:rPr>
          <w:rFonts w:hint="eastAsia"/>
        </w:rPr>
        <w:t>检查</w:t>
      </w:r>
      <w:r>
        <w:t>无人机</w:t>
      </w:r>
      <w:r>
        <w:rPr>
          <w:rFonts w:hint="eastAsia"/>
        </w:rPr>
        <w:t>是否曾</w:t>
      </w:r>
      <w:r>
        <w:t>浸入海水</w:t>
      </w:r>
      <w:r>
        <w:rPr>
          <w:rFonts w:hint="eastAsia"/>
        </w:rPr>
        <w:t>。</w:t>
      </w:r>
      <w:r>
        <w:t>对于具备一定防护等级（如IP54</w:t>
      </w:r>
      <w:r>
        <w:rPr>
          <w:rFonts w:hint="eastAsia"/>
        </w:rPr>
        <w:t>以上</w:t>
      </w:r>
      <w:r>
        <w:t>）的机型，应检查所有防水盖、密封圈是否完好无损</w:t>
      </w:r>
      <w:r>
        <w:rPr>
          <w:rFonts w:hint="eastAsia"/>
        </w:rPr>
        <w:t>，</w:t>
      </w:r>
      <w:r>
        <w:t>以应对海上潮湿和可能出现的降雨。</w:t>
      </w:r>
    </w:p>
    <w:p w14:paraId="650376DC">
      <w:pPr>
        <w:pStyle w:val="32"/>
        <w:ind w:firstLine="0" w:firstLineChars="0"/>
        <w:rPr>
          <w:rFonts w:hint="eastAsia"/>
        </w:rPr>
      </w:pPr>
      <w:r>
        <w:t>5.</w:t>
      </w:r>
      <w:r>
        <w:rPr>
          <w:rFonts w:hint="eastAsia"/>
        </w:rPr>
        <w:t>3</w:t>
      </w:r>
      <w:r>
        <w:t>.1.</w:t>
      </w:r>
      <w:r>
        <w:rPr>
          <w:rFonts w:hint="eastAsia"/>
        </w:rPr>
        <w:t>5 其他</w:t>
      </w:r>
      <w:r>
        <w:t>检查</w:t>
      </w:r>
    </w:p>
    <w:p w14:paraId="41D57F47">
      <w:pPr>
        <w:pStyle w:val="32"/>
        <w:ind w:firstLine="420"/>
        <w:rPr>
          <w:rFonts w:hint="eastAsia"/>
        </w:rPr>
      </w:pPr>
      <w:r>
        <w:t>包括无人机飞行警示灯是否有效</w:t>
      </w:r>
      <w:r>
        <w:rPr>
          <w:rFonts w:hint="eastAsia"/>
        </w:rPr>
        <w:t>、</w:t>
      </w:r>
      <w:r>
        <w:t>无人机重心</w:t>
      </w:r>
      <w:r>
        <w:rPr>
          <w:rFonts w:hint="eastAsia"/>
        </w:rPr>
        <w:t>是否</w:t>
      </w:r>
      <w:r>
        <w:t>偏移等</w:t>
      </w:r>
      <w:r>
        <w:rPr>
          <w:rFonts w:hint="eastAsia"/>
        </w:rPr>
        <w:t>其他检查</w:t>
      </w:r>
      <w:r>
        <w:t>。</w:t>
      </w:r>
    </w:p>
    <w:p w14:paraId="2EF33BBA">
      <w:pPr>
        <w:pStyle w:val="32"/>
        <w:ind w:firstLine="0" w:firstLineChars="0"/>
        <w:rPr>
          <w:rFonts w:hint="eastAsia"/>
        </w:rPr>
      </w:pPr>
      <w:bookmarkStart w:id="327" w:name="_Toc228824559"/>
      <w:bookmarkStart w:id="328" w:name="_Toc228825855"/>
      <w:bookmarkStart w:id="329" w:name="_Toc228825722"/>
      <w:r>
        <w:t>5.3.2 供电与动力装置系统检查</w:t>
      </w:r>
      <w:bookmarkEnd w:id="327"/>
      <w:bookmarkEnd w:id="328"/>
      <w:bookmarkEnd w:id="329"/>
    </w:p>
    <w:p w14:paraId="33CDFF0E">
      <w:pPr>
        <w:pStyle w:val="32"/>
        <w:ind w:firstLine="0" w:firstLineChars="0"/>
        <w:rPr>
          <w:rFonts w:hint="eastAsia"/>
        </w:rPr>
      </w:pPr>
      <w:bookmarkStart w:id="330" w:name="OLE_LINK16"/>
      <w:r>
        <w:rPr>
          <w:rFonts w:hint="eastAsia"/>
        </w:rPr>
        <w:t>5</w:t>
      </w:r>
      <w:r>
        <w:t>.</w:t>
      </w:r>
      <w:r>
        <w:rPr>
          <w:rFonts w:hint="eastAsia"/>
        </w:rPr>
        <w:t>3</w:t>
      </w:r>
      <w:r>
        <w:t xml:space="preserve">.2.1 </w:t>
      </w:r>
      <w:bookmarkEnd w:id="330"/>
      <w:r>
        <w:t>电池外观</w:t>
      </w:r>
      <w:r>
        <w:rPr>
          <w:rFonts w:hint="eastAsia"/>
        </w:rPr>
        <w:t>检查</w:t>
      </w:r>
    </w:p>
    <w:p w14:paraId="444714A1">
      <w:pPr>
        <w:pStyle w:val="32"/>
        <w:ind w:firstLine="420"/>
        <w:rPr>
          <w:rFonts w:hint="eastAsia"/>
        </w:rPr>
      </w:pPr>
      <w:r>
        <w:t>应使用与无人</w:t>
      </w:r>
      <w:r>
        <w:rPr>
          <w:rFonts w:hint="eastAsia"/>
        </w:rPr>
        <w:t>机</w:t>
      </w:r>
      <w:r>
        <w:t>匹配的智能电池。检查电池外观，确认无鼓包、漏液、破损或接口腐蚀现象。</w:t>
      </w:r>
    </w:p>
    <w:p w14:paraId="40816877">
      <w:pPr>
        <w:pStyle w:val="32"/>
        <w:ind w:firstLine="0" w:firstLineChars="0"/>
        <w:rPr>
          <w:rFonts w:hint="eastAsia"/>
        </w:rPr>
      </w:pPr>
      <w:r>
        <w:rPr>
          <w:rFonts w:hint="eastAsia"/>
        </w:rPr>
        <w:t>5</w:t>
      </w:r>
      <w:r>
        <w:t>.</w:t>
      </w:r>
      <w:r>
        <w:rPr>
          <w:rFonts w:hint="eastAsia"/>
        </w:rPr>
        <w:t>3</w:t>
      </w:r>
      <w:r>
        <w:t xml:space="preserve">.2.2 </w:t>
      </w:r>
      <w:r>
        <w:rPr>
          <w:rFonts w:hint="eastAsia"/>
        </w:rPr>
        <w:t>电池电量检查</w:t>
      </w:r>
    </w:p>
    <w:p w14:paraId="75EF37F5">
      <w:pPr>
        <w:pStyle w:val="32"/>
        <w:ind w:firstLine="420"/>
        <w:rPr>
          <w:rFonts w:hint="eastAsia"/>
        </w:rPr>
      </w:pPr>
      <w:r>
        <w:t>检查电池电量，用于执行任务的单块电池或电池组总电量不应低于95%。</w:t>
      </w:r>
    </w:p>
    <w:p w14:paraId="77636AEF">
      <w:pPr>
        <w:pStyle w:val="32"/>
        <w:ind w:firstLine="0" w:firstLineChars="0"/>
        <w:rPr>
          <w:rFonts w:hint="eastAsia"/>
        </w:rPr>
      </w:pPr>
      <w:r>
        <w:rPr>
          <w:rFonts w:hint="eastAsia"/>
        </w:rPr>
        <w:t>5</w:t>
      </w:r>
      <w:r>
        <w:t>.</w:t>
      </w:r>
      <w:r>
        <w:rPr>
          <w:rFonts w:hint="eastAsia"/>
        </w:rPr>
        <w:t>3</w:t>
      </w:r>
      <w:r>
        <w:t xml:space="preserve">.2.3 </w:t>
      </w:r>
      <w:r>
        <w:rPr>
          <w:rFonts w:hint="eastAsia"/>
        </w:rPr>
        <w:t>电池安装检查</w:t>
      </w:r>
    </w:p>
    <w:p w14:paraId="7542992D">
      <w:pPr>
        <w:pStyle w:val="32"/>
        <w:ind w:firstLine="420"/>
        <w:rPr>
          <w:rFonts w:hint="eastAsia"/>
        </w:rPr>
      </w:pPr>
      <w:r>
        <w:t>电池安装入仓后，应通过主锁扣和辅助安全扣进行双重固定，并轻晃电池确认无松动，以防止因船舶剧烈晃动导致电池意外断电或脱落。</w:t>
      </w:r>
    </w:p>
    <w:p w14:paraId="5812F3EB">
      <w:pPr>
        <w:pStyle w:val="32"/>
        <w:ind w:firstLine="0" w:firstLineChars="0"/>
        <w:rPr>
          <w:rFonts w:hint="eastAsia"/>
        </w:rPr>
      </w:pPr>
      <w:bookmarkStart w:id="331" w:name="_Toc228825856"/>
      <w:bookmarkStart w:id="332" w:name="_Toc228824560"/>
      <w:bookmarkStart w:id="333" w:name="_Toc228825723"/>
      <w:r>
        <w:t>5.3.3 导航定位与飞行控制系统检查</w:t>
      </w:r>
      <w:bookmarkEnd w:id="331"/>
      <w:bookmarkEnd w:id="332"/>
      <w:bookmarkEnd w:id="333"/>
    </w:p>
    <w:p w14:paraId="1EB076F8">
      <w:pPr>
        <w:pStyle w:val="32"/>
        <w:ind w:firstLine="0" w:firstLineChars="0"/>
        <w:rPr>
          <w:rFonts w:hint="eastAsia"/>
        </w:rPr>
      </w:pPr>
      <w:r>
        <w:rPr>
          <w:rFonts w:hint="eastAsia"/>
        </w:rPr>
        <w:t>5</w:t>
      </w:r>
      <w:r>
        <w:t>.</w:t>
      </w:r>
      <w:r>
        <w:rPr>
          <w:rFonts w:hint="eastAsia"/>
        </w:rPr>
        <w:t>3</w:t>
      </w:r>
      <w:r>
        <w:t>.</w:t>
      </w:r>
      <w:r>
        <w:rPr>
          <w:rFonts w:hint="eastAsia"/>
        </w:rPr>
        <w:t>3</w:t>
      </w:r>
      <w:r>
        <w:t>.1 GNSS信号质量检查</w:t>
      </w:r>
    </w:p>
    <w:p w14:paraId="54EE7FCF">
      <w:pPr>
        <w:pStyle w:val="32"/>
        <w:ind w:firstLine="420"/>
        <w:rPr>
          <w:rFonts w:hint="eastAsia"/>
        </w:rPr>
      </w:pPr>
      <w:r>
        <w:t>启动无人机电源，检查GNSS信号质量。在RTK（实时动态差分）模式下，应等待并确认系统进入“FIX”状态，即厘米级高精度定位解算固定。</w:t>
      </w:r>
    </w:p>
    <w:p w14:paraId="308C48B7">
      <w:pPr>
        <w:pStyle w:val="32"/>
        <w:ind w:firstLine="0" w:firstLineChars="0"/>
        <w:rPr>
          <w:rFonts w:hint="eastAsia"/>
        </w:rPr>
      </w:pPr>
      <w:r>
        <w:t>5.3.</w:t>
      </w:r>
      <w:r>
        <w:rPr>
          <w:rFonts w:hint="eastAsia"/>
        </w:rPr>
        <w:t>3</w:t>
      </w:r>
      <w:r>
        <w:t>.</w:t>
      </w:r>
      <w:r>
        <w:rPr>
          <w:rFonts w:hint="eastAsia"/>
        </w:rPr>
        <w:t>2</w:t>
      </w:r>
      <w:r>
        <w:t xml:space="preserve"> 磁罗盘校准检查</w:t>
      </w:r>
    </w:p>
    <w:p w14:paraId="0487870E">
      <w:pPr>
        <w:pStyle w:val="32"/>
        <w:ind w:firstLine="420"/>
        <w:rPr>
          <w:rFonts w:hint="eastAsia"/>
        </w:rPr>
      </w:pPr>
      <w:r>
        <w:t>磁罗盘校准时将无人机放置在水平的平台上，远离船体大型金属构件（如锚机、绞车）的甲板区域。校准过程中，作业人员身上不应携带对讲机、手机等设备。校准完成后，地面站软件显示的磁场模值应在制造商规定的正常范围内，与HB 8736保持一致。</w:t>
      </w:r>
    </w:p>
    <w:p w14:paraId="16FB5833">
      <w:pPr>
        <w:pStyle w:val="32"/>
        <w:ind w:firstLine="0" w:firstLineChars="0"/>
        <w:rPr>
          <w:rFonts w:hint="eastAsia"/>
        </w:rPr>
      </w:pPr>
      <w:bookmarkStart w:id="334" w:name="_Toc228825857"/>
      <w:bookmarkStart w:id="335" w:name="_Toc228824561"/>
      <w:bookmarkStart w:id="336" w:name="_Toc228825724"/>
      <w:r>
        <w:t>5.3.4 控制站与数据链路检查</w:t>
      </w:r>
      <w:bookmarkEnd w:id="334"/>
      <w:bookmarkEnd w:id="335"/>
      <w:bookmarkEnd w:id="336"/>
    </w:p>
    <w:p w14:paraId="184A6F36">
      <w:pPr>
        <w:pStyle w:val="32"/>
        <w:ind w:firstLine="0" w:firstLineChars="0"/>
        <w:rPr>
          <w:rFonts w:hint="eastAsia"/>
        </w:rPr>
      </w:pPr>
      <w:r>
        <w:rPr>
          <w:rFonts w:hint="eastAsia"/>
        </w:rPr>
        <w:t>5</w:t>
      </w:r>
      <w:r>
        <w:t>.</w:t>
      </w:r>
      <w:r>
        <w:rPr>
          <w:rFonts w:hint="eastAsia"/>
        </w:rPr>
        <w:t>3</w:t>
      </w:r>
      <w:r>
        <w:t>.</w:t>
      </w:r>
      <w:r>
        <w:rPr>
          <w:rFonts w:hint="eastAsia"/>
        </w:rPr>
        <w:t>4</w:t>
      </w:r>
      <w:r>
        <w:t>.</w:t>
      </w:r>
      <w:r>
        <w:rPr>
          <w:rFonts w:hint="eastAsia"/>
        </w:rPr>
        <w:t>1</w:t>
      </w:r>
      <w:r>
        <w:t xml:space="preserve"> </w:t>
      </w:r>
      <w:r>
        <w:rPr>
          <w:rFonts w:hint="eastAsia"/>
        </w:rPr>
        <w:t>地面站检查</w:t>
      </w:r>
    </w:p>
    <w:p w14:paraId="6A825E31">
      <w:pPr>
        <w:pStyle w:val="32"/>
        <w:ind w:firstLine="420"/>
        <w:rPr>
          <w:rFonts w:hint="eastAsia"/>
        </w:rPr>
      </w:pPr>
      <w:r>
        <w:rPr>
          <w:rFonts w:hint="eastAsia"/>
        </w:rPr>
        <w:t>a) 地面站的位置。</w:t>
      </w:r>
      <w:r>
        <w:t>地面站控制区应设置在能够清晰观察起降过程且相对稳固的位置。地面站天线架设点与船舶雷达、大功率电台、烟囱等强电磁干扰源和金属结构保持不小于10米的距离</w:t>
      </w:r>
      <w:r>
        <w:rPr>
          <w:rFonts w:hint="eastAsia"/>
        </w:rPr>
        <w:t>。如</w:t>
      </w:r>
      <w:r>
        <w:t>在</w:t>
      </w:r>
      <w:r>
        <w:rPr>
          <w:rFonts w:hint="eastAsia"/>
        </w:rPr>
        <w:t>小型船舶</w:t>
      </w:r>
      <w:r>
        <w:t>条件受限时，距离应</w:t>
      </w:r>
      <w:r>
        <w:rPr>
          <w:rFonts w:hint="eastAsia"/>
        </w:rPr>
        <w:t>不小于</w:t>
      </w:r>
      <w:r>
        <w:t>3米，并优先选择舷侧下层建筑遮蔽位置</w:t>
      </w:r>
      <w:r>
        <w:rPr>
          <w:rFonts w:hint="eastAsia"/>
        </w:rPr>
        <w:t>。</w:t>
      </w:r>
    </w:p>
    <w:p w14:paraId="438A3275">
      <w:pPr>
        <w:pStyle w:val="32"/>
        <w:ind w:firstLine="420"/>
        <w:rPr>
          <w:rFonts w:hint="eastAsia"/>
        </w:rPr>
      </w:pPr>
      <w:r>
        <w:rPr>
          <w:rFonts w:hint="eastAsia"/>
        </w:rPr>
        <w:t>b) 地面站的电量。</w:t>
      </w:r>
      <w:r>
        <w:t>地面站（包括遥控器、测控计算机）电量应充足，不低于90%。</w:t>
      </w:r>
    </w:p>
    <w:p w14:paraId="0262E660">
      <w:pPr>
        <w:pStyle w:val="32"/>
        <w:ind w:firstLine="0" w:firstLineChars="0"/>
        <w:rPr>
          <w:rFonts w:hint="eastAsia"/>
        </w:rPr>
      </w:pPr>
      <w:r>
        <w:rPr>
          <w:rFonts w:hint="eastAsia"/>
        </w:rPr>
        <w:t>5</w:t>
      </w:r>
      <w:r>
        <w:t>.</w:t>
      </w:r>
      <w:r>
        <w:rPr>
          <w:rFonts w:hint="eastAsia"/>
        </w:rPr>
        <w:t>3</w:t>
      </w:r>
      <w:r>
        <w:t>.</w:t>
      </w:r>
      <w:r>
        <w:rPr>
          <w:rFonts w:hint="eastAsia"/>
        </w:rPr>
        <w:t>4</w:t>
      </w:r>
      <w:r>
        <w:t>.2 数据链路和图传链路的天线</w:t>
      </w:r>
      <w:r>
        <w:rPr>
          <w:rFonts w:hint="eastAsia"/>
        </w:rPr>
        <w:t>检查</w:t>
      </w:r>
    </w:p>
    <w:p w14:paraId="3A1BC4AC">
      <w:pPr>
        <w:pStyle w:val="32"/>
        <w:ind w:firstLine="420"/>
        <w:rPr>
          <w:rFonts w:hint="eastAsia"/>
        </w:rPr>
      </w:pPr>
      <w:r>
        <w:t>数据链路和图传链路的天线应正确安装并朝向无人</w:t>
      </w:r>
      <w:r>
        <w:rPr>
          <w:rFonts w:hint="eastAsia"/>
        </w:rPr>
        <w:t>机</w:t>
      </w:r>
      <w:r>
        <w:t>主要作业空域，避免被船体上层建筑遮挡。</w:t>
      </w:r>
    </w:p>
    <w:p w14:paraId="3FE0FA93">
      <w:pPr>
        <w:pStyle w:val="32"/>
        <w:ind w:firstLine="0" w:firstLineChars="0"/>
        <w:rPr>
          <w:rFonts w:hint="eastAsia"/>
        </w:rPr>
      </w:pPr>
      <w:r>
        <w:rPr>
          <w:rFonts w:hint="eastAsia"/>
        </w:rPr>
        <w:t>5</w:t>
      </w:r>
      <w:r>
        <w:t>.</w:t>
      </w:r>
      <w:r>
        <w:rPr>
          <w:rFonts w:hint="eastAsia"/>
        </w:rPr>
        <w:t>3</w:t>
      </w:r>
      <w:r>
        <w:t>.</w:t>
      </w:r>
      <w:r>
        <w:rPr>
          <w:rFonts w:hint="eastAsia"/>
        </w:rPr>
        <w:t>4</w:t>
      </w:r>
      <w:r>
        <w:t>.3 链路连接测试</w:t>
      </w:r>
      <w:r>
        <w:rPr>
          <w:rFonts w:hint="eastAsia"/>
        </w:rPr>
        <w:t>检查</w:t>
      </w:r>
    </w:p>
    <w:p w14:paraId="5654DBD1">
      <w:pPr>
        <w:pStyle w:val="32"/>
        <w:ind w:firstLine="420"/>
        <w:rPr>
          <w:rFonts w:hint="eastAsia"/>
        </w:rPr>
      </w:pPr>
      <w:r>
        <w:t>开启所有设备电源，进行全面的链路连接测试。应确认遥测数据（如飞行姿态、高度、速度、电池电压、GNSS状态等）在地面站上能够实时、准确显示，无数据延迟或中断。</w:t>
      </w:r>
    </w:p>
    <w:p w14:paraId="50F5D6B5">
      <w:pPr>
        <w:pStyle w:val="32"/>
        <w:ind w:firstLine="0" w:firstLineChars="0"/>
        <w:rPr>
          <w:rFonts w:hint="eastAsia"/>
        </w:rPr>
      </w:pPr>
      <w:r>
        <w:rPr>
          <w:rFonts w:hint="eastAsia"/>
        </w:rPr>
        <w:t>5</w:t>
      </w:r>
      <w:r>
        <w:t>.</w:t>
      </w:r>
      <w:r>
        <w:rPr>
          <w:rFonts w:hint="eastAsia"/>
        </w:rPr>
        <w:t>3</w:t>
      </w:r>
      <w:r>
        <w:t>.</w:t>
      </w:r>
      <w:r>
        <w:rPr>
          <w:rFonts w:hint="eastAsia"/>
        </w:rPr>
        <w:t>4</w:t>
      </w:r>
      <w:r>
        <w:t>.4 视频链路</w:t>
      </w:r>
      <w:r>
        <w:rPr>
          <w:rFonts w:hint="eastAsia"/>
        </w:rPr>
        <w:t>检查</w:t>
      </w:r>
    </w:p>
    <w:p w14:paraId="1081B8E5">
      <w:pPr>
        <w:pStyle w:val="32"/>
        <w:ind w:firstLine="420"/>
        <w:rPr>
          <w:rFonts w:hint="eastAsia"/>
        </w:rPr>
      </w:pPr>
      <w:r>
        <w:t>视频链路应清晰流畅，控制云台转动及变焦等功能，确认无明显卡顿或延迟。</w:t>
      </w:r>
    </w:p>
    <w:p w14:paraId="5B016DD2">
      <w:pPr>
        <w:pStyle w:val="32"/>
        <w:ind w:firstLine="0" w:firstLineChars="0"/>
        <w:rPr>
          <w:rFonts w:hint="eastAsia"/>
        </w:rPr>
      </w:pPr>
      <w:r>
        <w:rPr>
          <w:rFonts w:hint="eastAsia"/>
        </w:rPr>
        <w:t>5</w:t>
      </w:r>
      <w:r>
        <w:t>.</w:t>
      </w:r>
      <w:r>
        <w:rPr>
          <w:rFonts w:hint="eastAsia"/>
        </w:rPr>
        <w:t>3</w:t>
      </w:r>
      <w:r>
        <w:t>.</w:t>
      </w:r>
      <w:r>
        <w:rPr>
          <w:rFonts w:hint="eastAsia"/>
        </w:rPr>
        <w:t>4</w:t>
      </w:r>
      <w:r>
        <w:t>.5 频率干扰</w:t>
      </w:r>
      <w:r>
        <w:rPr>
          <w:rFonts w:hint="eastAsia"/>
        </w:rPr>
        <w:t>检查</w:t>
      </w:r>
    </w:p>
    <w:p w14:paraId="607F6E94">
      <w:pPr>
        <w:pStyle w:val="32"/>
        <w:ind w:firstLine="420"/>
        <w:rPr>
          <w:rFonts w:hint="eastAsia"/>
        </w:rPr>
      </w:pPr>
      <w:r>
        <w:t>为规避频率干扰，作业前应与船舶驾驶台沟通，了解船上VHF电台、高频通信、卫星电话等无线电设备的工作频段。如有冲突，宜在起降关键阶段（起飞后1分钟内，降落前3分钟内）临时关停非必要的船载无线电设备。</w:t>
      </w:r>
    </w:p>
    <w:p w14:paraId="281DEDA2">
      <w:pPr>
        <w:pStyle w:val="38"/>
      </w:pPr>
      <w:bookmarkStart w:id="337" w:name="_Toc228824562"/>
      <w:bookmarkStart w:id="338" w:name="_Toc228825858"/>
      <w:bookmarkStart w:id="339" w:name="_Toc228826461"/>
      <w:bookmarkStart w:id="340" w:name="_Toc228825725"/>
      <w:bookmarkStart w:id="341" w:name="_Toc228826587"/>
      <w:r>
        <w:rPr>
          <w:rFonts w:hint="eastAsia"/>
        </w:rPr>
        <w:t>5</w:t>
      </w:r>
      <w:r>
        <w:t>.</w:t>
      </w:r>
      <w:r>
        <w:rPr>
          <w:rFonts w:hint="eastAsia"/>
        </w:rPr>
        <w:t xml:space="preserve">4 </w:t>
      </w:r>
      <w:r>
        <w:t>人员</w:t>
      </w:r>
      <w:r>
        <w:rPr>
          <w:rFonts w:hint="eastAsia"/>
        </w:rPr>
        <w:t>检查</w:t>
      </w:r>
      <w:bookmarkEnd w:id="337"/>
      <w:bookmarkEnd w:id="338"/>
      <w:bookmarkEnd w:id="339"/>
      <w:bookmarkEnd w:id="340"/>
      <w:bookmarkEnd w:id="341"/>
    </w:p>
    <w:p w14:paraId="1A689D28">
      <w:pPr>
        <w:pStyle w:val="32"/>
        <w:ind w:firstLine="420"/>
        <w:rPr>
          <w:rFonts w:hint="eastAsia"/>
        </w:rPr>
      </w:pPr>
      <w:r>
        <w:rPr>
          <w:rFonts w:hint="eastAsia"/>
        </w:rPr>
        <w:t>无人机作业前应满足4.3作业人员的相关要求，并做好以下人员检查：确保所有无人机系统机组人员全部就位，至少确保一名无人机系统机组人员与船长可随时沟通；确保无人机起飞危险警示区域内无人；确保无人机作业人员未饮酒。</w:t>
      </w:r>
    </w:p>
    <w:p w14:paraId="56A7A6F7">
      <w:pPr>
        <w:pStyle w:val="38"/>
      </w:pPr>
      <w:bookmarkStart w:id="342" w:name="_Toc228825726"/>
      <w:bookmarkStart w:id="343" w:name="_Toc228826588"/>
      <w:bookmarkStart w:id="344" w:name="_Toc228826462"/>
      <w:bookmarkStart w:id="345" w:name="_Toc228825859"/>
      <w:bookmarkStart w:id="346" w:name="_Toc122512931"/>
      <w:bookmarkStart w:id="347" w:name="_Toc228824563"/>
      <w:r>
        <w:rPr>
          <w:rFonts w:hint="eastAsia"/>
        </w:rPr>
        <w:t>5.5 船舶检查</w:t>
      </w:r>
      <w:bookmarkEnd w:id="342"/>
      <w:bookmarkEnd w:id="343"/>
      <w:bookmarkEnd w:id="344"/>
      <w:bookmarkEnd w:id="345"/>
      <w:bookmarkEnd w:id="346"/>
      <w:bookmarkEnd w:id="347"/>
    </w:p>
    <w:p w14:paraId="78BD3023">
      <w:pPr>
        <w:pStyle w:val="32"/>
        <w:ind w:firstLine="420"/>
        <w:rPr>
          <w:rFonts w:hint="eastAsia"/>
        </w:rPr>
      </w:pPr>
      <w:r>
        <w:rPr>
          <w:rFonts w:hint="eastAsia"/>
        </w:rPr>
        <w:t>无人机作业前应满足4.4作业船舶的相关要求，并对船舶周边水域、船舶运行状态、</w:t>
      </w:r>
      <w:r>
        <w:t>船舶</w:t>
      </w:r>
      <w:r>
        <w:rPr>
          <w:rFonts w:hint="eastAsia"/>
        </w:rPr>
        <w:t>甲板无人机起降区域等情况做好检查。</w:t>
      </w:r>
    </w:p>
    <w:p w14:paraId="0CECA9D3">
      <w:pPr>
        <w:pStyle w:val="32"/>
        <w:ind w:firstLine="0" w:firstLineChars="0"/>
        <w:rPr>
          <w:rFonts w:hint="eastAsia"/>
        </w:rPr>
      </w:pPr>
      <w:bookmarkStart w:id="348" w:name="_Toc228825860"/>
      <w:bookmarkStart w:id="349" w:name="_Toc228825727"/>
      <w:bookmarkStart w:id="350" w:name="_Toc228824564"/>
      <w:r>
        <w:t>5.</w:t>
      </w:r>
      <w:r>
        <w:rPr>
          <w:rFonts w:hint="eastAsia"/>
        </w:rPr>
        <w:t>5</w:t>
      </w:r>
      <w:r>
        <w:t>.1 作业影响范围检查</w:t>
      </w:r>
      <w:bookmarkEnd w:id="348"/>
      <w:bookmarkEnd w:id="349"/>
      <w:bookmarkEnd w:id="350"/>
    </w:p>
    <w:p w14:paraId="05AD8842">
      <w:pPr>
        <w:pStyle w:val="32"/>
        <w:ind w:firstLine="420"/>
        <w:rPr>
          <w:rFonts w:hint="eastAsia"/>
        </w:rPr>
      </w:pPr>
      <w:r>
        <w:t>以作业船舶为中心、半径不小于</w:t>
      </w:r>
      <w:r>
        <w:rPr>
          <w:rFonts w:hint="eastAsia"/>
        </w:rPr>
        <w:t>5</w:t>
      </w:r>
      <w:r>
        <w:t>00m的环形水域范围内无其他船舶通过或停靠</w:t>
      </w:r>
      <w:r>
        <w:rPr>
          <w:rFonts w:hint="eastAsia"/>
        </w:rPr>
        <w:t>，</w:t>
      </w:r>
      <w:r>
        <w:t>作业场景不</w:t>
      </w:r>
      <w:r>
        <w:rPr>
          <w:rFonts w:hint="eastAsia"/>
        </w:rPr>
        <w:t>宜在</w:t>
      </w:r>
      <w:r>
        <w:t>船舶停靠港口、锚地或船舶密集水域</w:t>
      </w:r>
      <w:r>
        <w:rPr>
          <w:rFonts w:hint="eastAsia"/>
        </w:rPr>
        <w:t>。</w:t>
      </w:r>
    </w:p>
    <w:p w14:paraId="6E3BC7E9">
      <w:pPr>
        <w:pStyle w:val="32"/>
        <w:ind w:firstLine="420"/>
        <w:rPr>
          <w:rFonts w:hint="eastAsia"/>
        </w:rPr>
      </w:pPr>
      <w:r>
        <w:t>以作业船舶最高点（通常为桅杆顶）为基准的上方300米高度范围内的空域</w:t>
      </w:r>
      <w:r>
        <w:rPr>
          <w:rFonts w:hint="eastAsia"/>
        </w:rPr>
        <w:t>为净空。</w:t>
      </w:r>
    </w:p>
    <w:p w14:paraId="067121B2">
      <w:pPr>
        <w:pStyle w:val="32"/>
        <w:ind w:firstLine="0" w:firstLineChars="0"/>
        <w:rPr>
          <w:rFonts w:hint="eastAsia"/>
        </w:rPr>
      </w:pPr>
      <w:bookmarkStart w:id="351" w:name="_Toc228825861"/>
      <w:bookmarkStart w:id="352" w:name="_Toc228825728"/>
      <w:bookmarkStart w:id="353" w:name="_Toc228824565"/>
      <w:r>
        <w:t>5.</w:t>
      </w:r>
      <w:r>
        <w:rPr>
          <w:rFonts w:hint="eastAsia"/>
        </w:rPr>
        <w:t>5</w:t>
      </w:r>
      <w:r>
        <w:t>.2 船舶运行状态检查</w:t>
      </w:r>
      <w:bookmarkEnd w:id="351"/>
      <w:bookmarkEnd w:id="352"/>
      <w:bookmarkEnd w:id="353"/>
    </w:p>
    <w:p w14:paraId="3D265A71">
      <w:pPr>
        <w:pStyle w:val="32"/>
        <w:ind w:firstLine="420"/>
        <w:rPr>
          <w:rFonts w:hint="eastAsia"/>
        </w:rPr>
      </w:pPr>
      <w:r>
        <w:rPr>
          <w:rFonts w:hint="eastAsia"/>
        </w:rPr>
        <w:t>无人机作业前，</w:t>
      </w:r>
      <w:r>
        <w:t>应与船舶驾驶台确认船舶的航向和姿态稳定性</w:t>
      </w:r>
      <w:r>
        <w:rPr>
          <w:rFonts w:hint="eastAsia"/>
        </w:rPr>
        <w:t>，确认当前船舶是否处于正常和安全运行状态。</w:t>
      </w:r>
      <w:r>
        <w:t>建议</w:t>
      </w:r>
      <w:r>
        <w:rPr>
          <w:rFonts w:hint="eastAsia"/>
        </w:rPr>
        <w:t>无人机起飞阶段，</w:t>
      </w:r>
      <w:r>
        <w:t>船舶</w:t>
      </w:r>
      <w:r>
        <w:rPr>
          <w:rFonts w:hint="eastAsia"/>
        </w:rPr>
        <w:t>航速不大于10节、</w:t>
      </w:r>
      <w:r>
        <w:t>船舶横摇角度不宜大于±5度，纵摇角度不宜大于±3度。</w:t>
      </w:r>
      <w:r>
        <w:rPr>
          <w:rFonts w:hint="eastAsia"/>
        </w:rPr>
        <w:t>船舶处于海上加油状态不宜开展无人机作业。</w:t>
      </w:r>
    </w:p>
    <w:p w14:paraId="57C26583">
      <w:pPr>
        <w:pStyle w:val="32"/>
        <w:ind w:firstLine="0" w:firstLineChars="0"/>
        <w:rPr>
          <w:rFonts w:hint="eastAsia"/>
        </w:rPr>
      </w:pPr>
      <w:bookmarkStart w:id="354" w:name="_Toc228825729"/>
      <w:bookmarkStart w:id="355" w:name="_Toc228824566"/>
      <w:bookmarkStart w:id="356" w:name="_Toc228825862"/>
      <w:r>
        <w:t>5.</w:t>
      </w:r>
      <w:r>
        <w:rPr>
          <w:rFonts w:hint="eastAsia"/>
        </w:rPr>
        <w:t>5</w:t>
      </w:r>
      <w:r>
        <w:t>.3 船舶甲板检查</w:t>
      </w:r>
      <w:bookmarkEnd w:id="354"/>
      <w:bookmarkEnd w:id="355"/>
      <w:bookmarkEnd w:id="356"/>
    </w:p>
    <w:p w14:paraId="0BD49D3A">
      <w:pPr>
        <w:pStyle w:val="32"/>
        <w:ind w:firstLine="420"/>
        <w:rPr>
          <w:rFonts w:hint="eastAsia"/>
        </w:rPr>
      </w:pPr>
      <w:r>
        <w:rPr>
          <w:rFonts w:hint="eastAsia"/>
        </w:rPr>
        <w:t>甲板区域</w:t>
      </w:r>
      <w:r>
        <w:t>开阔、平坦、无遮挡</w:t>
      </w:r>
      <w:r>
        <w:rPr>
          <w:rFonts w:hint="eastAsia"/>
        </w:rPr>
        <w:t>，甲板面</w:t>
      </w:r>
      <w:r>
        <w:t>铺设具有防滑、缓冲性能的橡胶垫或专用</w:t>
      </w:r>
      <w:r>
        <w:rPr>
          <w:rFonts w:hint="eastAsia"/>
        </w:rPr>
        <w:t>无人机</w:t>
      </w:r>
      <w:r>
        <w:t>起降垫</w:t>
      </w:r>
      <w:r>
        <w:rPr>
          <w:rFonts w:hint="eastAsia"/>
        </w:rPr>
        <w:t>，确保最大限度减少</w:t>
      </w:r>
      <w:r>
        <w:t>甲板湿滑和轻微摇摆，</w:t>
      </w:r>
    </w:p>
    <w:p w14:paraId="03688469">
      <w:pPr>
        <w:pStyle w:val="32"/>
        <w:ind w:firstLine="0" w:firstLineChars="0"/>
        <w:rPr>
          <w:rFonts w:hint="eastAsia"/>
        </w:rPr>
      </w:pPr>
      <w:bookmarkStart w:id="357" w:name="_Toc228825730"/>
      <w:bookmarkStart w:id="358" w:name="_Toc228824567"/>
      <w:bookmarkStart w:id="359" w:name="_Toc228825863"/>
      <w:r>
        <w:t>5.</w:t>
      </w:r>
      <w:r>
        <w:rPr>
          <w:rFonts w:hint="eastAsia"/>
        </w:rPr>
        <w:t>5</w:t>
      </w:r>
      <w:r>
        <w:t>.3 起降区与设施检查</w:t>
      </w:r>
      <w:bookmarkEnd w:id="357"/>
      <w:bookmarkEnd w:id="358"/>
      <w:bookmarkEnd w:id="359"/>
    </w:p>
    <w:p w14:paraId="6A028EE8">
      <w:pPr>
        <w:pStyle w:val="32"/>
        <w:ind w:firstLine="0" w:firstLineChars="0"/>
        <w:rPr>
          <w:rFonts w:hint="eastAsia"/>
        </w:rPr>
      </w:pPr>
      <w:r>
        <w:t>5.</w:t>
      </w:r>
      <w:r>
        <w:rPr>
          <w:rFonts w:hint="eastAsia"/>
        </w:rPr>
        <w:t>5</w:t>
      </w:r>
      <w:r>
        <w:t>.3</w:t>
      </w:r>
      <w:r>
        <w:rPr>
          <w:rFonts w:hint="eastAsia"/>
        </w:rPr>
        <w:t>.1 遮挡物和障碍物检查</w:t>
      </w:r>
    </w:p>
    <w:p w14:paraId="05138A7B">
      <w:pPr>
        <w:pStyle w:val="32"/>
        <w:ind w:firstLine="420"/>
        <w:rPr>
          <w:rFonts w:hint="eastAsia"/>
        </w:rPr>
      </w:pPr>
      <w:r>
        <w:rPr>
          <w:rFonts w:hint="eastAsia"/>
        </w:rPr>
        <w:t xml:space="preserve">a) </w:t>
      </w:r>
      <w:r>
        <w:t>起降区上方遮挡物检查</w:t>
      </w:r>
      <w:r>
        <w:rPr>
          <w:rFonts w:hint="eastAsia"/>
        </w:rPr>
        <w:t>，</w:t>
      </w:r>
      <w:r>
        <w:t>远离高耸的上层建筑、桅杆、吊臂和天线等</w:t>
      </w:r>
      <w:r>
        <w:rPr>
          <w:rFonts w:hint="eastAsia"/>
        </w:rPr>
        <w:t>遮挡</w:t>
      </w:r>
      <w:r>
        <w:t>物</w:t>
      </w:r>
      <w:r>
        <w:rPr>
          <w:rFonts w:hint="eastAsia"/>
        </w:rPr>
        <w:t>，确保起降区</w:t>
      </w:r>
      <w:r>
        <w:t>上方应无遮挡物</w:t>
      </w:r>
      <w:r>
        <w:rPr>
          <w:rFonts w:hint="eastAsia"/>
        </w:rPr>
        <w:t>。</w:t>
      </w:r>
    </w:p>
    <w:p w14:paraId="2643631A">
      <w:pPr>
        <w:pStyle w:val="32"/>
        <w:ind w:firstLine="420"/>
        <w:rPr>
          <w:rFonts w:hint="eastAsia"/>
        </w:rPr>
      </w:pPr>
      <w:r>
        <w:rPr>
          <w:rFonts w:hint="eastAsia"/>
        </w:rPr>
        <w:t>b) 起降区内障碍物检查，</w:t>
      </w:r>
      <w:r>
        <w:t>清理区域内所有绳索、工具、杂物等活动障碍物</w:t>
      </w:r>
      <w:r>
        <w:rPr>
          <w:rFonts w:hint="eastAsia"/>
        </w:rPr>
        <w:t>，确保</w:t>
      </w:r>
      <w:r>
        <w:t>起降</w:t>
      </w:r>
      <w:r>
        <w:rPr>
          <w:rFonts w:hint="eastAsia"/>
        </w:rPr>
        <w:t>区内</w:t>
      </w:r>
      <w:r>
        <w:t>干净整洁、无杂物</w:t>
      </w:r>
      <w:r>
        <w:rPr>
          <w:rFonts w:hint="eastAsia"/>
        </w:rPr>
        <w:t>。</w:t>
      </w:r>
    </w:p>
    <w:p w14:paraId="3DFCC534">
      <w:pPr>
        <w:pStyle w:val="32"/>
        <w:ind w:firstLine="420"/>
        <w:rPr>
          <w:rFonts w:hint="eastAsia"/>
        </w:rPr>
      </w:pPr>
      <w:r>
        <w:rPr>
          <w:rFonts w:hint="eastAsia"/>
        </w:rPr>
        <w:t>c) 起降区临近区域检查，如周边堆放可移动物品，确保做好固定措施，避免滑动进入起降区。</w:t>
      </w:r>
    </w:p>
    <w:p w14:paraId="35C94244">
      <w:pPr>
        <w:pStyle w:val="32"/>
        <w:ind w:firstLine="0" w:firstLineChars="0"/>
        <w:rPr>
          <w:rFonts w:hint="eastAsia"/>
        </w:rPr>
      </w:pPr>
      <w:r>
        <w:t>5.</w:t>
      </w:r>
      <w:r>
        <w:rPr>
          <w:rFonts w:hint="eastAsia"/>
        </w:rPr>
        <w:t>5</w:t>
      </w:r>
      <w:r>
        <w:t>.3</w:t>
      </w:r>
      <w:r>
        <w:rPr>
          <w:rFonts w:hint="eastAsia"/>
        </w:rPr>
        <w:t>.2 安全防护措施检查</w:t>
      </w:r>
    </w:p>
    <w:p w14:paraId="257D67E9">
      <w:pPr>
        <w:pStyle w:val="32"/>
        <w:ind w:firstLine="420"/>
        <w:rPr>
          <w:rFonts w:hint="eastAsia"/>
        </w:rPr>
      </w:pPr>
      <w:r>
        <w:rPr>
          <w:rFonts w:hint="eastAsia"/>
        </w:rPr>
        <w:t>检查</w:t>
      </w:r>
      <w:r>
        <w:t>起降区朝向船舷的一侧或两侧</w:t>
      </w:r>
      <w:r>
        <w:rPr>
          <w:rFonts w:hint="eastAsia"/>
        </w:rPr>
        <w:t>是否设置</w:t>
      </w:r>
      <w:r>
        <w:t>安全警示标志</w:t>
      </w:r>
      <w:r>
        <w:rPr>
          <w:rFonts w:hint="eastAsia"/>
        </w:rPr>
        <w:t>和配备</w:t>
      </w:r>
      <w:r>
        <w:t>防坠挡边或防护网</w:t>
      </w:r>
      <w:r>
        <w:rPr>
          <w:rFonts w:hint="eastAsia"/>
        </w:rPr>
        <w:t>，确保无人机</w:t>
      </w:r>
      <w:r>
        <w:t>起降作业期间无关人员进入</w:t>
      </w:r>
      <w:r>
        <w:rPr>
          <w:rFonts w:hint="eastAsia"/>
        </w:rPr>
        <w:t>起降区，同时避免</w:t>
      </w:r>
      <w:r>
        <w:t>无人机因侧滑或翻滚意外落海。</w:t>
      </w:r>
    </w:p>
    <w:p w14:paraId="6FED1B66">
      <w:pPr>
        <w:pStyle w:val="37"/>
        <w:spacing w:before="240" w:after="240"/>
        <w:rPr>
          <w:rFonts w:hint="eastAsia"/>
        </w:rPr>
      </w:pPr>
      <w:bookmarkStart w:id="360" w:name="_Toc228825731"/>
      <w:bookmarkStart w:id="361" w:name="_Toc228824568"/>
      <w:bookmarkStart w:id="362" w:name="_Toc228825864"/>
      <w:bookmarkStart w:id="363" w:name="_Toc228826463"/>
      <w:bookmarkStart w:id="364" w:name="_Toc228826589"/>
      <w:r>
        <w:rPr>
          <w:rFonts w:hint="eastAsia"/>
        </w:rPr>
        <w:t xml:space="preserve">6 </w:t>
      </w:r>
      <w:r>
        <w:t>作业过程控制</w:t>
      </w:r>
      <w:bookmarkEnd w:id="360"/>
      <w:bookmarkEnd w:id="361"/>
      <w:bookmarkEnd w:id="362"/>
      <w:bookmarkEnd w:id="363"/>
      <w:bookmarkEnd w:id="364"/>
    </w:p>
    <w:p w14:paraId="539495F3">
      <w:pPr>
        <w:pStyle w:val="38"/>
      </w:pPr>
      <w:bookmarkStart w:id="365" w:name="_Toc228826464"/>
      <w:bookmarkStart w:id="366" w:name="_Toc228825732"/>
      <w:bookmarkStart w:id="367" w:name="_Toc228825865"/>
      <w:bookmarkStart w:id="368" w:name="_Toc228826590"/>
      <w:bookmarkStart w:id="369" w:name="_Toc228824569"/>
      <w:r>
        <w:rPr>
          <w:rFonts w:hint="eastAsia"/>
        </w:rPr>
        <w:t>6</w:t>
      </w:r>
      <w:r>
        <w:t>.1 起飞控制</w:t>
      </w:r>
      <w:bookmarkEnd w:id="365"/>
      <w:bookmarkEnd w:id="366"/>
      <w:bookmarkEnd w:id="367"/>
      <w:bookmarkEnd w:id="368"/>
      <w:bookmarkEnd w:id="369"/>
    </w:p>
    <w:p w14:paraId="3F457121">
      <w:pPr>
        <w:pStyle w:val="32"/>
        <w:ind w:firstLine="0" w:firstLineChars="0"/>
        <w:rPr>
          <w:rFonts w:hint="eastAsia"/>
        </w:rPr>
      </w:pPr>
      <w:bookmarkStart w:id="370" w:name="_Toc228824570"/>
      <w:bookmarkStart w:id="371" w:name="_Toc228825733"/>
      <w:bookmarkStart w:id="372" w:name="_Toc228825866"/>
      <w:r>
        <w:t>6.1.1 无人</w:t>
      </w:r>
      <w:r>
        <w:rPr>
          <w:rFonts w:hint="eastAsia"/>
        </w:rPr>
        <w:t>机</w:t>
      </w:r>
      <w:r>
        <w:t>放置</w:t>
      </w:r>
      <w:bookmarkEnd w:id="370"/>
      <w:bookmarkEnd w:id="371"/>
      <w:bookmarkEnd w:id="372"/>
    </w:p>
    <w:p w14:paraId="0649657F">
      <w:pPr>
        <w:pStyle w:val="32"/>
        <w:ind w:firstLine="420"/>
        <w:rPr>
          <w:rFonts w:hint="eastAsia"/>
        </w:rPr>
      </w:pPr>
      <w:r>
        <w:t>将无人</w:t>
      </w:r>
      <w:r>
        <w:rPr>
          <w:rFonts w:hint="eastAsia"/>
        </w:rPr>
        <w:t>机</w:t>
      </w:r>
      <w:r>
        <w:t>放置于起降区中心位置，机头逆风或逆着船舶航行方向。</w:t>
      </w:r>
    </w:p>
    <w:p w14:paraId="3D453053">
      <w:pPr>
        <w:pStyle w:val="32"/>
        <w:ind w:firstLine="0" w:firstLineChars="0"/>
        <w:rPr>
          <w:rFonts w:hint="eastAsia"/>
        </w:rPr>
      </w:pPr>
      <w:bookmarkStart w:id="373" w:name="_Toc228824571"/>
      <w:bookmarkStart w:id="374" w:name="_Toc228825734"/>
      <w:bookmarkStart w:id="375" w:name="_Toc228825867"/>
      <w:r>
        <w:t>6.1.2 检查无人机各传感器状态</w:t>
      </w:r>
      <w:bookmarkEnd w:id="373"/>
      <w:bookmarkEnd w:id="374"/>
      <w:bookmarkEnd w:id="375"/>
    </w:p>
    <w:p w14:paraId="48C760EC">
      <w:pPr>
        <w:pStyle w:val="32"/>
        <w:ind w:firstLine="420"/>
        <w:rPr>
          <w:rFonts w:hint="eastAsia"/>
        </w:rPr>
      </w:pPr>
      <w:r>
        <w:t>操控员在地面站软件中检查无人</w:t>
      </w:r>
      <w:r>
        <w:rPr>
          <w:rFonts w:hint="eastAsia"/>
        </w:rPr>
        <w:t>机</w:t>
      </w:r>
      <w:r>
        <w:t>各传感器状态，确认GPS信号良好（RTK固定解）、磁罗盘无异常、IMU（惯性测量单元）预热完成、动力系统无告警。</w:t>
      </w:r>
    </w:p>
    <w:p w14:paraId="7C3F78A0">
      <w:pPr>
        <w:pStyle w:val="32"/>
        <w:ind w:firstLine="0" w:firstLineChars="0"/>
        <w:rPr>
          <w:rFonts w:hint="eastAsia"/>
        </w:rPr>
      </w:pPr>
      <w:bookmarkStart w:id="376" w:name="_Toc228825735"/>
      <w:bookmarkStart w:id="377" w:name="_Toc228824572"/>
      <w:bookmarkStart w:id="378" w:name="_Toc228825868"/>
      <w:r>
        <w:t>6.1.3 设置无人机动态起降点</w:t>
      </w:r>
      <w:bookmarkEnd w:id="376"/>
      <w:bookmarkEnd w:id="377"/>
      <w:bookmarkEnd w:id="378"/>
    </w:p>
    <w:p w14:paraId="23DE28E2">
      <w:pPr>
        <w:pStyle w:val="32"/>
        <w:ind w:firstLine="420"/>
        <w:rPr>
          <w:rFonts w:hint="eastAsia"/>
        </w:rPr>
      </w:pPr>
      <w:r>
        <w:t>在地面站中设置或确认动态起降点功能已开启。起飞前应手动刷新一次动态起降点，确保其与船舶当前位置精确一致。</w:t>
      </w:r>
    </w:p>
    <w:p w14:paraId="5345EB4E">
      <w:pPr>
        <w:pStyle w:val="32"/>
        <w:ind w:firstLine="0" w:firstLineChars="0"/>
        <w:rPr>
          <w:rFonts w:hint="eastAsia"/>
        </w:rPr>
      </w:pPr>
      <w:bookmarkStart w:id="379" w:name="_Toc228825869"/>
      <w:bookmarkStart w:id="380" w:name="_Toc228825736"/>
      <w:bookmarkStart w:id="381" w:name="_Toc228824573"/>
      <w:r>
        <w:t>6.1.4 确认无人机起降区及周边净空</w:t>
      </w:r>
      <w:bookmarkEnd w:id="379"/>
      <w:bookmarkEnd w:id="380"/>
      <w:bookmarkEnd w:id="381"/>
    </w:p>
    <w:p w14:paraId="1CD33634">
      <w:pPr>
        <w:pStyle w:val="32"/>
        <w:ind w:firstLine="420"/>
        <w:rPr>
          <w:rFonts w:hint="eastAsia"/>
        </w:rPr>
      </w:pPr>
      <w:r>
        <w:t>操控员通过对讲机向安全员和船舶驾驶台通报“无人</w:t>
      </w:r>
      <w:r>
        <w:rPr>
          <w:rFonts w:hint="eastAsia"/>
        </w:rPr>
        <w:t>机</w:t>
      </w:r>
      <w:r>
        <w:t>准备起飞”</w:t>
      </w:r>
      <w:r>
        <w:rPr>
          <w:rFonts w:hint="eastAsia"/>
        </w:rPr>
        <w:t>。</w:t>
      </w:r>
      <w:r>
        <w:t>安全员回复确认起降区及周边净空后，操控员方可解锁电机。</w:t>
      </w:r>
    </w:p>
    <w:p w14:paraId="123BBE71">
      <w:pPr>
        <w:pStyle w:val="32"/>
        <w:ind w:firstLine="0" w:firstLineChars="0"/>
        <w:rPr>
          <w:rFonts w:hint="eastAsia"/>
        </w:rPr>
      </w:pPr>
      <w:bookmarkStart w:id="382" w:name="_Toc228824574"/>
      <w:bookmarkStart w:id="383" w:name="_Toc228825737"/>
      <w:bookmarkStart w:id="384" w:name="_Toc228825870"/>
      <w:r>
        <w:t>6.1.5 观察无人机螺旋桨状态</w:t>
      </w:r>
      <w:bookmarkEnd w:id="382"/>
      <w:bookmarkEnd w:id="383"/>
      <w:bookmarkEnd w:id="384"/>
    </w:p>
    <w:p w14:paraId="6DD32308">
      <w:pPr>
        <w:pStyle w:val="32"/>
        <w:ind w:firstLine="420"/>
        <w:rPr>
          <w:rFonts w:hint="eastAsia"/>
        </w:rPr>
      </w:pPr>
      <w:r>
        <w:t>电机解锁后，应先以怠速旋转3-5秒，观察螺旋桨状态是否平稳，有无异响或异常振动。</w:t>
      </w:r>
    </w:p>
    <w:p w14:paraId="60A3F645">
      <w:pPr>
        <w:pStyle w:val="32"/>
        <w:ind w:firstLine="0" w:firstLineChars="0"/>
        <w:rPr>
          <w:rFonts w:hint="eastAsia"/>
        </w:rPr>
      </w:pPr>
      <w:bookmarkStart w:id="385" w:name="_Toc228825738"/>
      <w:bookmarkStart w:id="386" w:name="_Toc228824575"/>
      <w:bookmarkStart w:id="387" w:name="_Toc228825871"/>
      <w:r>
        <w:t>6.1.6 无人机稳定升空</w:t>
      </w:r>
      <w:bookmarkEnd w:id="385"/>
      <w:bookmarkEnd w:id="386"/>
      <w:bookmarkEnd w:id="387"/>
    </w:p>
    <w:p w14:paraId="57F3E84F">
      <w:pPr>
        <w:pStyle w:val="32"/>
        <w:ind w:firstLine="420"/>
        <w:rPr>
          <w:rFonts w:hint="eastAsia"/>
        </w:rPr>
      </w:pPr>
      <w:r>
        <w:rPr>
          <w:rFonts w:hint="eastAsia"/>
        </w:rPr>
        <w:t>在逆风情况下，</w:t>
      </w:r>
      <w:r>
        <w:t>柔和地将油门推杆推至中位以上，使无人</w:t>
      </w:r>
      <w:r>
        <w:rPr>
          <w:rFonts w:hint="eastAsia"/>
        </w:rPr>
        <w:t>机</w:t>
      </w:r>
      <w:r>
        <w:t>垂直、稳定地升空。在垂直爬升阶段，操控员应密切关注无人</w:t>
      </w:r>
      <w:r>
        <w:rPr>
          <w:rFonts w:hint="eastAsia"/>
        </w:rPr>
        <w:t>机</w:t>
      </w:r>
      <w:r>
        <w:t>姿态，并随时准备修正因船体摇晃或突发阵风引起的姿态偏差。</w:t>
      </w:r>
    </w:p>
    <w:p w14:paraId="5FACE356">
      <w:pPr>
        <w:pStyle w:val="32"/>
        <w:ind w:firstLine="0" w:firstLineChars="0"/>
        <w:rPr>
          <w:rFonts w:hint="eastAsia"/>
        </w:rPr>
      </w:pPr>
      <w:bookmarkStart w:id="388" w:name="_Toc228825872"/>
      <w:bookmarkStart w:id="389" w:name="_Toc228825739"/>
      <w:bookmarkStart w:id="390" w:name="_Toc228824576"/>
      <w:r>
        <w:t xml:space="preserve">6.1.7 </w:t>
      </w:r>
      <w:r>
        <w:rPr>
          <w:rFonts w:hint="eastAsia"/>
        </w:rPr>
        <w:t>无人机爬升至</w:t>
      </w:r>
      <w:r>
        <w:t>指定</w:t>
      </w:r>
      <w:r>
        <w:rPr>
          <w:rFonts w:hint="eastAsia"/>
        </w:rPr>
        <w:t>高度</w:t>
      </w:r>
      <w:bookmarkEnd w:id="388"/>
      <w:bookmarkEnd w:id="389"/>
      <w:bookmarkEnd w:id="390"/>
    </w:p>
    <w:p w14:paraId="43240906">
      <w:pPr>
        <w:pStyle w:val="32"/>
        <w:ind w:firstLine="420"/>
        <w:rPr>
          <w:rFonts w:hint="eastAsia"/>
        </w:rPr>
      </w:pPr>
      <w:r>
        <w:t>无人</w:t>
      </w:r>
      <w:r>
        <w:rPr>
          <w:rFonts w:hint="eastAsia"/>
        </w:rPr>
        <w:t>机</w:t>
      </w:r>
      <w:r>
        <w:t>应垂直爬升至相对甲板高度50米以上。此高度应高于船上所有障碍物（包括桅杆最高点）至少20米。</w:t>
      </w:r>
    </w:p>
    <w:p w14:paraId="2A87DB5E">
      <w:pPr>
        <w:pStyle w:val="32"/>
        <w:ind w:firstLine="0" w:firstLineChars="0"/>
        <w:rPr>
          <w:rFonts w:hint="eastAsia"/>
        </w:rPr>
      </w:pPr>
      <w:bookmarkStart w:id="391" w:name="_Toc228825873"/>
      <w:bookmarkStart w:id="392" w:name="_Toc228824577"/>
      <w:bookmarkStart w:id="393" w:name="_Toc228825740"/>
      <w:r>
        <w:t xml:space="preserve">6.1.8 </w:t>
      </w:r>
      <w:r>
        <w:rPr>
          <w:rFonts w:hint="eastAsia"/>
        </w:rPr>
        <w:t>切换</w:t>
      </w:r>
      <w:r>
        <w:t>无人机</w:t>
      </w:r>
      <w:r>
        <w:rPr>
          <w:rFonts w:hint="eastAsia"/>
        </w:rPr>
        <w:t>飞行模式</w:t>
      </w:r>
      <w:bookmarkEnd w:id="391"/>
      <w:bookmarkEnd w:id="392"/>
      <w:bookmarkEnd w:id="393"/>
    </w:p>
    <w:p w14:paraId="1DF7890E">
      <w:pPr>
        <w:pStyle w:val="32"/>
        <w:ind w:firstLine="420"/>
        <w:rPr>
          <w:rFonts w:hint="eastAsia"/>
        </w:rPr>
      </w:pPr>
      <w:r>
        <w:t>在确认无人</w:t>
      </w:r>
      <w:r>
        <w:rPr>
          <w:rFonts w:hint="eastAsia"/>
        </w:rPr>
        <w:t>机</w:t>
      </w:r>
      <w:r>
        <w:t>姿态稳定、高度安全后，操控员方可发出指令，将无人</w:t>
      </w:r>
      <w:r>
        <w:rPr>
          <w:rFonts w:hint="eastAsia"/>
        </w:rPr>
        <w:t>机</w:t>
      </w:r>
      <w:r>
        <w:t>从多旋翼模式切换至固定翼飞行模式。切换过程应在开阔</w:t>
      </w:r>
      <w:r>
        <w:rPr>
          <w:rFonts w:hint="eastAsia"/>
        </w:rPr>
        <w:t>海</w:t>
      </w:r>
      <w:r>
        <w:t>域上空完成。</w:t>
      </w:r>
    </w:p>
    <w:p w14:paraId="75D1A497">
      <w:pPr>
        <w:pStyle w:val="38"/>
      </w:pPr>
      <w:bookmarkStart w:id="394" w:name="_Toc228825741"/>
      <w:bookmarkStart w:id="395" w:name="_Toc228825874"/>
      <w:bookmarkStart w:id="396" w:name="_Toc228826591"/>
      <w:bookmarkStart w:id="397" w:name="_Toc228824578"/>
      <w:bookmarkStart w:id="398" w:name="_Toc228826465"/>
      <w:r>
        <w:rPr>
          <w:rFonts w:hint="eastAsia"/>
        </w:rPr>
        <w:t>6</w:t>
      </w:r>
      <w:r>
        <w:t>.2 飞行监控</w:t>
      </w:r>
      <w:bookmarkEnd w:id="394"/>
      <w:bookmarkEnd w:id="395"/>
      <w:bookmarkEnd w:id="396"/>
      <w:bookmarkEnd w:id="397"/>
      <w:bookmarkEnd w:id="398"/>
    </w:p>
    <w:p w14:paraId="6B49177F">
      <w:pPr>
        <w:pStyle w:val="32"/>
        <w:ind w:firstLine="0" w:firstLineChars="0"/>
        <w:rPr>
          <w:rFonts w:hint="eastAsia"/>
        </w:rPr>
      </w:pPr>
      <w:bookmarkStart w:id="399" w:name="_Toc228825742"/>
      <w:bookmarkStart w:id="400" w:name="_Toc228824579"/>
      <w:bookmarkStart w:id="401" w:name="_Toc228825875"/>
      <w:r>
        <w:t>6.2.1 设置安全边界</w:t>
      </w:r>
      <w:bookmarkEnd w:id="399"/>
      <w:bookmarkEnd w:id="400"/>
      <w:bookmarkEnd w:id="401"/>
    </w:p>
    <w:p w14:paraId="06A42B65">
      <w:pPr>
        <w:pStyle w:val="32"/>
        <w:ind w:firstLine="420"/>
        <w:rPr>
          <w:rFonts w:hint="eastAsia"/>
        </w:rPr>
      </w:pPr>
      <w:r>
        <w:t>任务航线规划时，应设置安全边界，确保航线与本船及航道上其他船舶或设施的水平距离始终不小于</w:t>
      </w:r>
      <w:r>
        <w:rPr>
          <w:rFonts w:hint="eastAsia"/>
        </w:rPr>
        <w:t>5</w:t>
      </w:r>
      <w:r>
        <w:t>00米。</w:t>
      </w:r>
    </w:p>
    <w:p w14:paraId="7E6A83BF">
      <w:pPr>
        <w:pStyle w:val="32"/>
        <w:ind w:firstLine="0" w:firstLineChars="0"/>
        <w:rPr>
          <w:rFonts w:hint="eastAsia"/>
        </w:rPr>
      </w:pPr>
      <w:bookmarkStart w:id="402" w:name="_Toc228824580"/>
      <w:bookmarkStart w:id="403" w:name="_Toc228825876"/>
      <w:bookmarkStart w:id="404" w:name="_Toc228825743"/>
      <w:r>
        <w:t>6.2.2 自动更新动态起降点</w:t>
      </w:r>
      <w:bookmarkEnd w:id="402"/>
      <w:bookmarkEnd w:id="403"/>
      <w:bookmarkEnd w:id="404"/>
    </w:p>
    <w:p w14:paraId="632182F4">
      <w:pPr>
        <w:pStyle w:val="32"/>
        <w:ind w:firstLine="420"/>
        <w:rPr>
          <w:rFonts w:hint="eastAsia"/>
        </w:rPr>
      </w:pPr>
      <w:r>
        <w:t>飞行过程中，地面控制系统应根据船舶运动状态实时或更新动态起降点，以同步作业船舶的GPS坐标</w:t>
      </w:r>
      <w:r>
        <w:rPr>
          <w:rFonts w:hint="eastAsia"/>
        </w:rPr>
        <w:t>，</w:t>
      </w:r>
      <w:r>
        <w:t>确保无人机在返航过程中能够精确跟踪船舶移动。在船舶进行大幅度转向或变速时，应手动强制刷新。</w:t>
      </w:r>
    </w:p>
    <w:p w14:paraId="5A65A0F1">
      <w:pPr>
        <w:pStyle w:val="32"/>
        <w:ind w:firstLine="0" w:firstLineChars="0"/>
        <w:rPr>
          <w:rFonts w:hint="eastAsia"/>
        </w:rPr>
      </w:pPr>
      <w:bookmarkStart w:id="405" w:name="_Toc228825744"/>
      <w:bookmarkStart w:id="406" w:name="_Toc228824581"/>
      <w:bookmarkStart w:id="407" w:name="_Toc228825877"/>
      <w:r>
        <w:t>6.2.3 操控员持续监控飞行关键参数</w:t>
      </w:r>
      <w:bookmarkEnd w:id="405"/>
      <w:bookmarkEnd w:id="406"/>
      <w:bookmarkEnd w:id="407"/>
    </w:p>
    <w:p w14:paraId="07DC36CA">
      <w:pPr>
        <w:pStyle w:val="32"/>
        <w:ind w:firstLine="420"/>
        <w:rPr>
          <w:rFonts w:hint="eastAsia"/>
        </w:rPr>
      </w:pPr>
      <w:r>
        <w:t>a) 空速与地速：指示空速应维持在无人</w:t>
      </w:r>
      <w:r>
        <w:rPr>
          <w:rFonts w:hint="eastAsia"/>
        </w:rPr>
        <w:t>机</w:t>
      </w:r>
      <w:r>
        <w:t>设计的经济巡航速度范围内。若空速因船舶晃动导致的惯性效应而产生超过±5米/秒的剧烈波动，应引起警惕，必要时切换至手动增稳模式进行平滑控制。</w:t>
      </w:r>
    </w:p>
    <w:p w14:paraId="262E92D0">
      <w:pPr>
        <w:pStyle w:val="32"/>
        <w:ind w:firstLine="420"/>
        <w:rPr>
          <w:rFonts w:hint="eastAsia"/>
        </w:rPr>
      </w:pPr>
      <w:r>
        <w:t>b) 电池电压与电流：当主电源电压下降至预设的“第一级返航电压”阈值时，应立即中止当前任务，启动返航程序。</w:t>
      </w:r>
    </w:p>
    <w:p w14:paraId="63C30E93">
      <w:pPr>
        <w:pStyle w:val="32"/>
        <w:ind w:firstLine="420"/>
        <w:rPr>
          <w:rFonts w:hint="eastAsia"/>
        </w:rPr>
      </w:pPr>
      <w:r>
        <w:t>c) 数据链与图传信号强度：若信号强度低于制造商设定的安全阈值（通常为25%）并出现持续下降趋势，应立即命令无人</w:t>
      </w:r>
      <w:r>
        <w:rPr>
          <w:rFonts w:hint="eastAsia"/>
        </w:rPr>
        <w:t>机</w:t>
      </w:r>
      <w:r>
        <w:t>向船只方向飞行以恢复信号，或直接触发“一键返航”。</w:t>
      </w:r>
    </w:p>
    <w:p w14:paraId="4D131583">
      <w:pPr>
        <w:pStyle w:val="32"/>
        <w:ind w:firstLine="420"/>
        <w:rPr>
          <w:rFonts w:hint="eastAsia"/>
        </w:rPr>
      </w:pPr>
      <w:r>
        <w:t>d) GNSS状态：持续监控卫星数量和RTK状态。若RTK从“FIX”降级为“FLOAT”或“SINGLE”，定位精度会大幅下降，应暂停近距离精细作业，并准备在姿态模式下手动降落。</w:t>
      </w:r>
    </w:p>
    <w:p w14:paraId="4AECA80D">
      <w:pPr>
        <w:pStyle w:val="38"/>
      </w:pPr>
      <w:bookmarkStart w:id="408" w:name="_Toc228825745"/>
      <w:bookmarkStart w:id="409" w:name="_Toc228826466"/>
      <w:bookmarkStart w:id="410" w:name="_Toc228824582"/>
      <w:bookmarkStart w:id="411" w:name="_Toc228826592"/>
      <w:bookmarkStart w:id="412" w:name="_Toc228825878"/>
      <w:r>
        <w:rPr>
          <w:rFonts w:hint="eastAsia"/>
        </w:rPr>
        <w:t>6</w:t>
      </w:r>
      <w:r>
        <w:t>.3 降落控制</w:t>
      </w:r>
      <w:bookmarkEnd w:id="408"/>
      <w:bookmarkEnd w:id="409"/>
      <w:bookmarkEnd w:id="410"/>
      <w:bookmarkEnd w:id="411"/>
      <w:bookmarkEnd w:id="412"/>
    </w:p>
    <w:p w14:paraId="7C8A4346">
      <w:pPr>
        <w:pStyle w:val="32"/>
        <w:ind w:firstLine="0" w:firstLineChars="0"/>
        <w:rPr>
          <w:rFonts w:hint="eastAsia"/>
        </w:rPr>
      </w:pPr>
      <w:bookmarkStart w:id="413" w:name="_Toc228824583"/>
      <w:bookmarkStart w:id="414" w:name="_Toc228825879"/>
      <w:bookmarkStart w:id="415" w:name="_Toc228825746"/>
      <w:r>
        <w:t xml:space="preserve">6.3.1 </w:t>
      </w:r>
      <w:r>
        <w:rPr>
          <w:rFonts w:hint="eastAsia"/>
        </w:rPr>
        <w:t>安全员清理</w:t>
      </w:r>
      <w:r>
        <w:t>起降区</w:t>
      </w:r>
      <w:bookmarkEnd w:id="413"/>
      <w:bookmarkEnd w:id="414"/>
      <w:bookmarkEnd w:id="415"/>
    </w:p>
    <w:p w14:paraId="73F7E472">
      <w:pPr>
        <w:pStyle w:val="32"/>
        <w:ind w:firstLine="420"/>
        <w:rPr>
          <w:rFonts w:hint="eastAsia"/>
        </w:rPr>
      </w:pPr>
      <w:r>
        <w:t>在无人</w:t>
      </w:r>
      <w:r>
        <w:rPr>
          <w:rFonts w:hint="eastAsia"/>
        </w:rPr>
        <w:t>机</w:t>
      </w:r>
      <w:r>
        <w:t>距离作业船舶约1公里</w:t>
      </w:r>
      <w:r>
        <w:rPr>
          <w:rFonts w:hint="eastAsia"/>
        </w:rPr>
        <w:t>或提前10分钟</w:t>
      </w:r>
      <w:r>
        <w:t>，操控员应通知安全员和船舶驾驶台</w:t>
      </w:r>
      <w:r>
        <w:rPr>
          <w:rFonts w:hint="eastAsia"/>
        </w:rPr>
        <w:t>“</w:t>
      </w:r>
      <w:r>
        <w:t>准备降落</w:t>
      </w:r>
      <w:r>
        <w:rPr>
          <w:rFonts w:hint="eastAsia"/>
        </w:rPr>
        <w:t>”</w:t>
      </w:r>
      <w:r>
        <w:t>。安全员对起降区进行最后一次清理和警戒，驾驶台应尽可能保持航向航速稳定。</w:t>
      </w:r>
    </w:p>
    <w:p w14:paraId="13AA2A51">
      <w:pPr>
        <w:pStyle w:val="32"/>
        <w:ind w:firstLine="0" w:firstLineChars="0"/>
        <w:rPr>
          <w:rFonts w:hint="eastAsia"/>
        </w:rPr>
      </w:pPr>
      <w:bookmarkStart w:id="416" w:name="_Toc228825747"/>
      <w:bookmarkStart w:id="417" w:name="_Toc228824584"/>
      <w:bookmarkStart w:id="418" w:name="_Toc228825880"/>
      <w:r>
        <w:t xml:space="preserve">6.3.2 </w:t>
      </w:r>
      <w:r>
        <w:rPr>
          <w:rFonts w:hint="eastAsia"/>
        </w:rPr>
        <w:t>确认作业船舶航向和姿态</w:t>
      </w:r>
      <w:bookmarkEnd w:id="416"/>
      <w:bookmarkEnd w:id="417"/>
      <w:bookmarkEnd w:id="418"/>
    </w:p>
    <w:p w14:paraId="0803CE92">
      <w:pPr>
        <w:pStyle w:val="32"/>
        <w:ind w:firstLine="420"/>
        <w:rPr>
          <w:rFonts w:hint="eastAsia"/>
        </w:rPr>
      </w:pPr>
      <w:r>
        <w:t>降落前应确认船舶航速不大于10节、船舶横摇角度不宜大于±5度，纵摇角度不宜大于±3度。若船舶晃动剧烈，无人</w:t>
      </w:r>
      <w:r>
        <w:rPr>
          <w:rFonts w:hint="eastAsia"/>
        </w:rPr>
        <w:t>机</w:t>
      </w:r>
      <w:r>
        <w:t>应在船只上空盘旋等待，直至海况或</w:t>
      </w:r>
      <w:r>
        <w:rPr>
          <w:rFonts w:hint="eastAsia"/>
        </w:rPr>
        <w:t>船舶姿态</w:t>
      </w:r>
      <w:r>
        <w:t>满足降落条件。</w:t>
      </w:r>
    </w:p>
    <w:p w14:paraId="645A73BA">
      <w:pPr>
        <w:pStyle w:val="32"/>
        <w:ind w:firstLine="0" w:firstLineChars="0"/>
        <w:rPr>
          <w:rFonts w:hint="eastAsia"/>
        </w:rPr>
      </w:pPr>
      <w:bookmarkStart w:id="419" w:name="_Toc228825881"/>
      <w:bookmarkStart w:id="420" w:name="_Toc228824585"/>
      <w:bookmarkStart w:id="421" w:name="_Toc228825748"/>
      <w:r>
        <w:t xml:space="preserve">6.3.3 </w:t>
      </w:r>
      <w:r>
        <w:rPr>
          <w:rFonts w:hint="eastAsia"/>
        </w:rPr>
        <w:t>在作业船舶上空盘旋</w:t>
      </w:r>
      <w:bookmarkEnd w:id="419"/>
      <w:bookmarkEnd w:id="420"/>
      <w:bookmarkEnd w:id="421"/>
    </w:p>
    <w:p w14:paraId="3335D27C">
      <w:pPr>
        <w:pStyle w:val="32"/>
        <w:ind w:firstLine="420"/>
        <w:rPr>
          <w:rFonts w:hint="eastAsia"/>
        </w:rPr>
      </w:pPr>
      <w:r>
        <w:t>无人</w:t>
      </w:r>
      <w:r>
        <w:rPr>
          <w:rFonts w:hint="eastAsia"/>
        </w:rPr>
        <w:t>机</w:t>
      </w:r>
      <w:r>
        <w:t>返航至作业船舶上空约100米高度盘旋。操控员发出模式转换指令，无人</w:t>
      </w:r>
      <w:r>
        <w:rPr>
          <w:rFonts w:hint="eastAsia"/>
        </w:rPr>
        <w:t>机</w:t>
      </w:r>
      <w:r>
        <w:t>从固定翼模式平稳切换至多旋翼模式。船舶在无人机降落前调整为左舷受风，无人机</w:t>
      </w:r>
      <w:r>
        <w:rPr>
          <w:rFonts w:hint="eastAsia"/>
        </w:rPr>
        <w:t>在逆风情况下</w:t>
      </w:r>
      <w:r>
        <w:t>从右舷正横后30°至60°方向驶近起降区。</w:t>
      </w:r>
    </w:p>
    <w:p w14:paraId="36F9BCA1">
      <w:pPr>
        <w:pStyle w:val="32"/>
        <w:ind w:firstLine="0" w:firstLineChars="0"/>
        <w:rPr>
          <w:rFonts w:hint="eastAsia"/>
        </w:rPr>
      </w:pPr>
      <w:bookmarkStart w:id="422" w:name="_Toc228824586"/>
      <w:bookmarkStart w:id="423" w:name="_Toc228825749"/>
      <w:bookmarkStart w:id="424" w:name="_Toc228825882"/>
      <w:r>
        <w:t xml:space="preserve">6.3.4 </w:t>
      </w:r>
      <w:r>
        <w:rPr>
          <w:rFonts w:hint="eastAsia"/>
        </w:rPr>
        <w:t>在甲板上方悬停</w:t>
      </w:r>
      <w:bookmarkEnd w:id="422"/>
      <w:bookmarkEnd w:id="423"/>
      <w:bookmarkEnd w:id="424"/>
    </w:p>
    <w:p w14:paraId="3B70F9B8">
      <w:pPr>
        <w:pStyle w:val="32"/>
        <w:ind w:firstLine="420"/>
        <w:rPr>
          <w:rFonts w:hint="eastAsia"/>
        </w:rPr>
      </w:pPr>
      <w:r>
        <w:t>在多旋翼模式下，操控员以不大于2米/秒的下降率，将无人</w:t>
      </w:r>
      <w:r>
        <w:rPr>
          <w:rFonts w:hint="eastAsia"/>
        </w:rPr>
        <w:t>机</w:t>
      </w:r>
      <w:r>
        <w:t>缓慢降至甲板上方10米高度悬停。在10米高度悬停时，操控员应精细调整无人</w:t>
      </w:r>
      <w:r>
        <w:rPr>
          <w:rFonts w:hint="eastAsia"/>
        </w:rPr>
        <w:t>机</w:t>
      </w:r>
      <w:r>
        <w:t>的位置，使其位于起降区中心正上方，并微调其机头方向，使其与甲板纵轴或主风向保持一致，以获得最佳的姿态稳定性。</w:t>
      </w:r>
    </w:p>
    <w:p w14:paraId="1455D510">
      <w:pPr>
        <w:pStyle w:val="32"/>
        <w:ind w:firstLine="0" w:firstLineChars="0"/>
        <w:rPr>
          <w:rFonts w:hint="eastAsia"/>
        </w:rPr>
      </w:pPr>
      <w:bookmarkStart w:id="425" w:name="_Toc228824587"/>
      <w:bookmarkStart w:id="426" w:name="_Toc228825750"/>
      <w:bookmarkStart w:id="427" w:name="_Toc228825883"/>
      <w:r>
        <w:t>6.3.</w:t>
      </w:r>
      <w:r>
        <w:rPr>
          <w:rFonts w:hint="eastAsia"/>
        </w:rPr>
        <w:t>5 平稳降落在起降区</w:t>
      </w:r>
      <w:bookmarkEnd w:id="425"/>
      <w:bookmarkEnd w:id="426"/>
      <w:bookmarkEnd w:id="427"/>
    </w:p>
    <w:p w14:paraId="7828E8F3">
      <w:pPr>
        <w:pStyle w:val="32"/>
        <w:ind w:firstLine="420"/>
        <w:rPr>
          <w:rFonts w:hint="eastAsia"/>
        </w:rPr>
      </w:pPr>
      <w:r>
        <w:t>无人机降落时，作业人员应与无人机保持5</w:t>
      </w:r>
      <w:r>
        <w:rPr>
          <w:rFonts w:hint="eastAsia"/>
        </w:rPr>
        <w:t>米</w:t>
      </w:r>
      <w:r>
        <w:t>以上距离或者位于安全网后。在确认位置和姿态无误后，</w:t>
      </w:r>
      <w:r>
        <w:rPr>
          <w:rFonts w:hint="eastAsia"/>
        </w:rPr>
        <w:t>正常情况下</w:t>
      </w:r>
      <w:r>
        <w:t>以不大于0.5米/秒的下降率，</w:t>
      </w:r>
      <w:r>
        <w:rPr>
          <w:rFonts w:hint="eastAsia"/>
        </w:rPr>
        <w:t>如</w:t>
      </w:r>
      <w:r>
        <w:t>在着舰控制系统辅助下</w:t>
      </w:r>
      <w:r>
        <w:rPr>
          <w:rFonts w:hint="eastAsia"/>
        </w:rPr>
        <w:t>可</w:t>
      </w:r>
      <w:r>
        <w:t>采用更高效的下降剖面</w:t>
      </w:r>
      <w:r>
        <w:rPr>
          <w:rFonts w:hint="eastAsia"/>
        </w:rPr>
        <w:t>，</w:t>
      </w:r>
      <w:r>
        <w:t>平稳地将无人</w:t>
      </w:r>
      <w:r>
        <w:rPr>
          <w:rFonts w:hint="eastAsia"/>
        </w:rPr>
        <w:t>机</w:t>
      </w:r>
      <w:r>
        <w:t>降落在起降</w:t>
      </w:r>
      <w:r>
        <w:rPr>
          <w:rFonts w:hint="eastAsia"/>
        </w:rPr>
        <w:t>区</w:t>
      </w:r>
      <w:r>
        <w:t>。在无人</w:t>
      </w:r>
      <w:r>
        <w:rPr>
          <w:rFonts w:hint="eastAsia"/>
        </w:rPr>
        <w:t>机</w:t>
      </w:r>
      <w:r>
        <w:t>即将触舰的瞬间，操控员应根据甲板的升沉运动，做出精准的油门控制，实现“软着陆”。</w:t>
      </w:r>
    </w:p>
    <w:p w14:paraId="044FB5F4">
      <w:pPr>
        <w:pStyle w:val="32"/>
        <w:ind w:firstLine="0" w:firstLineChars="0"/>
        <w:rPr>
          <w:rFonts w:hint="eastAsia"/>
        </w:rPr>
      </w:pPr>
      <w:bookmarkStart w:id="428" w:name="_Toc228825751"/>
      <w:bookmarkStart w:id="429" w:name="_Toc228825884"/>
      <w:bookmarkStart w:id="430" w:name="_Toc228824588"/>
      <w:r>
        <w:t>6.3.</w:t>
      </w:r>
      <w:r>
        <w:rPr>
          <w:rFonts w:hint="eastAsia"/>
        </w:rPr>
        <w:t>6</w:t>
      </w:r>
      <w:r>
        <w:t xml:space="preserve"> 切断电源</w:t>
      </w:r>
      <w:r>
        <w:rPr>
          <w:rFonts w:hint="eastAsia"/>
        </w:rPr>
        <w:t>整理</w:t>
      </w:r>
      <w:r>
        <w:t>无人</w:t>
      </w:r>
      <w:r>
        <w:rPr>
          <w:rFonts w:hint="eastAsia"/>
        </w:rPr>
        <w:t>机</w:t>
      </w:r>
      <w:bookmarkEnd w:id="428"/>
      <w:bookmarkEnd w:id="429"/>
      <w:bookmarkEnd w:id="430"/>
    </w:p>
    <w:p w14:paraId="77C238CE">
      <w:pPr>
        <w:pStyle w:val="32"/>
        <w:ind w:firstLine="420"/>
        <w:rPr>
          <w:rFonts w:hint="eastAsia"/>
        </w:rPr>
      </w:pPr>
      <w:r>
        <w:t>无人</w:t>
      </w:r>
      <w:r>
        <w:rPr>
          <w:rFonts w:hint="eastAsia"/>
        </w:rPr>
        <w:t>机</w:t>
      </w:r>
      <w:r>
        <w:t>完全接地并稳定后，操控员应在2秒内执行“锁定”或“急停”指令，关闭所有旋翼电机。安全员在</w:t>
      </w:r>
      <w:r>
        <w:rPr>
          <w:rFonts w:hint="eastAsia"/>
        </w:rPr>
        <w:t>确认</w:t>
      </w:r>
      <w:r>
        <w:t>无人机电源切断后，方可上前</w:t>
      </w:r>
      <w:bookmarkStart w:id="431" w:name="OLE_LINK29"/>
      <w:r>
        <w:rPr>
          <w:rFonts w:hint="eastAsia"/>
        </w:rPr>
        <w:t>整理</w:t>
      </w:r>
      <w:r>
        <w:t>无人</w:t>
      </w:r>
      <w:r>
        <w:rPr>
          <w:rFonts w:hint="eastAsia"/>
        </w:rPr>
        <w:t>机</w:t>
      </w:r>
      <w:bookmarkEnd w:id="431"/>
      <w:r>
        <w:t>。</w:t>
      </w:r>
    </w:p>
    <w:p w14:paraId="2E2DE08E">
      <w:pPr>
        <w:pStyle w:val="37"/>
        <w:spacing w:before="240" w:after="240"/>
        <w:rPr>
          <w:rFonts w:hint="eastAsia"/>
        </w:rPr>
      </w:pPr>
      <w:bookmarkStart w:id="432" w:name="_Toc228826593"/>
      <w:bookmarkStart w:id="433" w:name="_Toc228825885"/>
      <w:bookmarkStart w:id="434" w:name="_Toc228825752"/>
      <w:bookmarkStart w:id="435" w:name="_Toc228826467"/>
      <w:bookmarkStart w:id="436" w:name="_Toc228824589"/>
      <w:r>
        <w:rPr>
          <w:rFonts w:hint="eastAsia"/>
        </w:rPr>
        <w:t xml:space="preserve">7 </w:t>
      </w:r>
      <w:r>
        <w:t>作业后检查与维护</w:t>
      </w:r>
      <w:bookmarkEnd w:id="432"/>
      <w:bookmarkEnd w:id="433"/>
      <w:bookmarkEnd w:id="434"/>
      <w:bookmarkEnd w:id="435"/>
      <w:bookmarkEnd w:id="436"/>
    </w:p>
    <w:p w14:paraId="145F87D2">
      <w:pPr>
        <w:pStyle w:val="38"/>
      </w:pPr>
      <w:bookmarkStart w:id="437" w:name="_Toc228826468"/>
      <w:bookmarkStart w:id="438" w:name="_Toc228824590"/>
      <w:bookmarkStart w:id="439" w:name="_Toc228825753"/>
      <w:bookmarkStart w:id="440" w:name="_Toc228826594"/>
      <w:bookmarkStart w:id="441" w:name="_Toc228825886"/>
      <w:r>
        <w:rPr>
          <w:rFonts w:hint="eastAsia"/>
        </w:rPr>
        <w:t>7</w:t>
      </w:r>
      <w:r>
        <w:t>.1 设备清洁与保养</w:t>
      </w:r>
      <w:bookmarkEnd w:id="437"/>
      <w:bookmarkEnd w:id="438"/>
      <w:bookmarkEnd w:id="439"/>
      <w:bookmarkEnd w:id="440"/>
      <w:bookmarkEnd w:id="441"/>
    </w:p>
    <w:p w14:paraId="275368E0">
      <w:pPr>
        <w:pStyle w:val="32"/>
        <w:ind w:firstLine="0" w:firstLineChars="0"/>
        <w:rPr>
          <w:rFonts w:hint="eastAsia"/>
        </w:rPr>
      </w:pPr>
      <w:bookmarkStart w:id="442" w:name="_Toc228824591"/>
      <w:bookmarkStart w:id="443" w:name="_Toc228825754"/>
      <w:bookmarkStart w:id="444" w:name="_Toc228825887"/>
      <w:r>
        <w:t xml:space="preserve">7.1.1 </w:t>
      </w:r>
      <w:r>
        <w:rPr>
          <w:rFonts w:hint="eastAsia"/>
        </w:rPr>
        <w:t>搬运无人机</w:t>
      </w:r>
      <w:bookmarkEnd w:id="442"/>
      <w:bookmarkEnd w:id="443"/>
      <w:bookmarkEnd w:id="444"/>
    </w:p>
    <w:p w14:paraId="2FEA3CD6">
      <w:pPr>
        <w:pStyle w:val="32"/>
        <w:ind w:firstLine="420"/>
        <w:rPr>
          <w:rFonts w:hint="eastAsia"/>
        </w:rPr>
      </w:pPr>
      <w:r>
        <w:t>安全员将无人</w:t>
      </w:r>
      <w:r>
        <w:rPr>
          <w:rFonts w:hint="eastAsia"/>
        </w:rPr>
        <w:t>机</w:t>
      </w:r>
      <w:r>
        <w:t>从甲板上搬离至指定的室内维护区。搬运过程中应避免对天线、空速管、光电吊舱等突出部件造成冲击。</w:t>
      </w:r>
    </w:p>
    <w:p w14:paraId="638C126A">
      <w:pPr>
        <w:pStyle w:val="32"/>
        <w:ind w:firstLine="0" w:firstLineChars="0"/>
        <w:rPr>
          <w:rFonts w:hint="eastAsia"/>
        </w:rPr>
      </w:pPr>
      <w:bookmarkStart w:id="445" w:name="_Toc228825755"/>
      <w:bookmarkStart w:id="446" w:name="_Toc228825888"/>
      <w:bookmarkStart w:id="447" w:name="_Toc228824592"/>
      <w:r>
        <w:t>7.1.2 擦拭无人机</w:t>
      </w:r>
      <w:bookmarkEnd w:id="445"/>
      <w:bookmarkEnd w:id="446"/>
      <w:bookmarkEnd w:id="447"/>
    </w:p>
    <w:p w14:paraId="73ABC1E8">
      <w:pPr>
        <w:pStyle w:val="32"/>
        <w:ind w:firstLine="420"/>
        <w:rPr>
          <w:rFonts w:hint="eastAsia"/>
        </w:rPr>
      </w:pPr>
      <w:r>
        <w:t>使用干燥、柔软的无纺布或麂皮布，仔细擦拭无人</w:t>
      </w:r>
      <w:r>
        <w:rPr>
          <w:rFonts w:hint="eastAsia"/>
        </w:rPr>
        <w:t>机</w:t>
      </w:r>
      <w:r>
        <w:t>机身、机翼、旋翼臂、起落架及任务载荷表面，彻底清除附着的海水盐分、湿气和污渍。对空速管、散热口、电机缝隙等不易擦拭的部位，可使用吹气球或低压压缩空气进行清洁。严禁使用高压气枪直吹传感器或精密部件。</w:t>
      </w:r>
    </w:p>
    <w:p w14:paraId="2ED6EFE1">
      <w:pPr>
        <w:pStyle w:val="32"/>
        <w:ind w:firstLine="0" w:firstLineChars="0"/>
        <w:rPr>
          <w:rFonts w:hint="eastAsia"/>
        </w:rPr>
      </w:pPr>
      <w:bookmarkStart w:id="448" w:name="_Toc228824593"/>
      <w:bookmarkStart w:id="449" w:name="_Toc228825889"/>
      <w:bookmarkStart w:id="450" w:name="_Toc228825756"/>
      <w:r>
        <w:t>7.1.</w:t>
      </w:r>
      <w:r>
        <w:rPr>
          <w:rFonts w:hint="eastAsia"/>
        </w:rPr>
        <w:t>3</w:t>
      </w:r>
      <w:r>
        <w:t xml:space="preserve"> </w:t>
      </w:r>
      <w:r>
        <w:rPr>
          <w:rFonts w:hint="eastAsia"/>
        </w:rPr>
        <w:t>清洁金属部件</w:t>
      </w:r>
      <w:bookmarkEnd w:id="448"/>
      <w:bookmarkEnd w:id="449"/>
      <w:bookmarkEnd w:id="450"/>
    </w:p>
    <w:p w14:paraId="1F3ACDDB">
      <w:pPr>
        <w:pStyle w:val="32"/>
        <w:ind w:firstLine="420"/>
        <w:rPr>
          <w:rFonts w:hint="eastAsia"/>
        </w:rPr>
      </w:pPr>
      <w:r>
        <w:t>检查所有金属连接件、螺丝、接插件等部位，如发现白色盐霜或早期锈蚀迹象，应使用专用清洁剂或无水酒精进行擦拭，并涂抹薄层防锈剂或润滑脂进行防护。</w:t>
      </w:r>
    </w:p>
    <w:p w14:paraId="2F5EE557">
      <w:pPr>
        <w:pStyle w:val="32"/>
        <w:ind w:firstLine="0" w:firstLineChars="0"/>
        <w:rPr>
          <w:rFonts w:hint="eastAsia"/>
        </w:rPr>
      </w:pPr>
      <w:bookmarkStart w:id="451" w:name="_Toc228824594"/>
      <w:bookmarkStart w:id="452" w:name="_Toc228825757"/>
      <w:bookmarkStart w:id="453" w:name="_Toc228825890"/>
      <w:r>
        <w:t>7.1.</w:t>
      </w:r>
      <w:r>
        <w:rPr>
          <w:rFonts w:hint="eastAsia"/>
        </w:rPr>
        <w:t>4</w:t>
      </w:r>
      <w:r>
        <w:t xml:space="preserve"> 清洁</w:t>
      </w:r>
      <w:r>
        <w:rPr>
          <w:rFonts w:hint="eastAsia"/>
        </w:rPr>
        <w:t>电池</w:t>
      </w:r>
      <w:bookmarkEnd w:id="451"/>
      <w:bookmarkEnd w:id="452"/>
      <w:bookmarkEnd w:id="453"/>
    </w:p>
    <w:p w14:paraId="62DFFD7E">
      <w:pPr>
        <w:pStyle w:val="32"/>
        <w:ind w:firstLine="420"/>
        <w:rPr>
          <w:rFonts w:hint="eastAsia"/>
        </w:rPr>
      </w:pPr>
      <w:r>
        <w:t>取出动力电池，使用干布清洁电池壳体和电极接口。若电极有接触海水的痕迹，应用棉签蘸取无水酒精仔细清洁，并在通风处静置至少30分钟，待完全干燥后再进行充电或存放。</w:t>
      </w:r>
    </w:p>
    <w:p w14:paraId="1EFEA3C1">
      <w:pPr>
        <w:pStyle w:val="38"/>
      </w:pPr>
      <w:bookmarkStart w:id="454" w:name="_Toc228825891"/>
      <w:bookmarkStart w:id="455" w:name="_Toc228826595"/>
      <w:bookmarkStart w:id="456" w:name="_Toc228825758"/>
      <w:bookmarkStart w:id="457" w:name="_Toc228824595"/>
      <w:bookmarkStart w:id="458" w:name="_Toc228826469"/>
      <w:r>
        <w:rPr>
          <w:rFonts w:hint="eastAsia"/>
        </w:rPr>
        <w:t>7</w:t>
      </w:r>
      <w:r>
        <w:t>.2 数据处理与备份</w:t>
      </w:r>
      <w:bookmarkEnd w:id="454"/>
      <w:bookmarkEnd w:id="455"/>
      <w:bookmarkEnd w:id="456"/>
      <w:bookmarkEnd w:id="457"/>
      <w:bookmarkEnd w:id="458"/>
    </w:p>
    <w:p w14:paraId="5B0BB5A7">
      <w:pPr>
        <w:pStyle w:val="32"/>
        <w:ind w:firstLine="0" w:firstLineChars="0"/>
        <w:rPr>
          <w:rFonts w:hint="eastAsia"/>
        </w:rPr>
      </w:pPr>
      <w:bookmarkStart w:id="459" w:name="_Toc228825892"/>
      <w:bookmarkStart w:id="460" w:name="_Toc228824596"/>
      <w:bookmarkStart w:id="461" w:name="_Toc228825759"/>
      <w:r>
        <w:t xml:space="preserve">7.2.1 </w:t>
      </w:r>
      <w:r>
        <w:rPr>
          <w:rFonts w:hint="eastAsia"/>
        </w:rPr>
        <w:t>下载任务数据</w:t>
      </w:r>
      <w:bookmarkEnd w:id="459"/>
      <w:bookmarkEnd w:id="460"/>
      <w:bookmarkEnd w:id="461"/>
    </w:p>
    <w:p w14:paraId="29DCD7CA">
      <w:pPr>
        <w:pStyle w:val="32"/>
        <w:ind w:firstLine="420"/>
        <w:rPr>
          <w:rFonts w:hint="eastAsia"/>
        </w:rPr>
      </w:pPr>
      <w:r>
        <w:t>及时下载无人</w:t>
      </w:r>
      <w:r>
        <w:rPr>
          <w:rFonts w:hint="eastAsia"/>
        </w:rPr>
        <w:t>机</w:t>
      </w:r>
      <w:r>
        <w:t>机载存储设备中的任务数据，包括航拍影像、传感器数据、飞行日志（黑匣子数据）等。</w:t>
      </w:r>
    </w:p>
    <w:p w14:paraId="07C3C877">
      <w:pPr>
        <w:pStyle w:val="32"/>
        <w:ind w:firstLine="0" w:firstLineChars="0"/>
        <w:rPr>
          <w:rFonts w:hint="eastAsia"/>
        </w:rPr>
      </w:pPr>
      <w:bookmarkStart w:id="462" w:name="_Toc228825760"/>
      <w:bookmarkStart w:id="463" w:name="_Toc228824597"/>
      <w:bookmarkStart w:id="464" w:name="_Toc228825893"/>
      <w:r>
        <w:t xml:space="preserve">7.2.2 </w:t>
      </w:r>
      <w:r>
        <w:rPr>
          <w:rFonts w:hint="eastAsia"/>
        </w:rPr>
        <w:t>存储备份数据</w:t>
      </w:r>
      <w:bookmarkEnd w:id="462"/>
      <w:bookmarkEnd w:id="463"/>
      <w:bookmarkEnd w:id="464"/>
    </w:p>
    <w:p w14:paraId="184F2E76">
      <w:pPr>
        <w:pStyle w:val="32"/>
        <w:ind w:firstLine="420"/>
        <w:rPr>
          <w:rFonts w:hint="eastAsia"/>
        </w:rPr>
      </w:pPr>
      <w:r>
        <w:t>将原始数据和地面站记录的测控数据在至少两个独立的存储介质上进行备份，并按照项目要求进行命名和归档。</w:t>
      </w:r>
    </w:p>
    <w:p w14:paraId="1062EE8F">
      <w:pPr>
        <w:pStyle w:val="32"/>
        <w:ind w:firstLine="0" w:firstLineChars="0"/>
        <w:rPr>
          <w:rFonts w:hint="eastAsia"/>
        </w:rPr>
      </w:pPr>
      <w:bookmarkStart w:id="465" w:name="_Toc228825894"/>
      <w:bookmarkStart w:id="466" w:name="_Toc228825761"/>
      <w:bookmarkStart w:id="467" w:name="_Toc228824598"/>
      <w:r>
        <w:t xml:space="preserve">7.2.3 </w:t>
      </w:r>
      <w:r>
        <w:rPr>
          <w:rFonts w:hint="eastAsia"/>
        </w:rPr>
        <w:t>检查飞行日志数据</w:t>
      </w:r>
      <w:bookmarkEnd w:id="465"/>
      <w:bookmarkEnd w:id="466"/>
      <w:bookmarkEnd w:id="467"/>
    </w:p>
    <w:p w14:paraId="30B622AF">
      <w:pPr>
        <w:pStyle w:val="32"/>
        <w:ind w:firstLine="420"/>
        <w:rPr>
          <w:rFonts w:hint="eastAsia"/>
        </w:rPr>
      </w:pPr>
      <w:r>
        <w:t>应对飞行日志数据进行初步解读，检查有无异常参数记录（如过大的振动值、传感器数据跳变、电压异常波动等），作为设备健康状况评估的依据。</w:t>
      </w:r>
    </w:p>
    <w:p w14:paraId="5FB48023">
      <w:pPr>
        <w:pStyle w:val="38"/>
      </w:pPr>
      <w:bookmarkStart w:id="468" w:name="_Toc228826596"/>
      <w:bookmarkStart w:id="469" w:name="_Toc228824599"/>
      <w:bookmarkStart w:id="470" w:name="_Toc228826470"/>
      <w:bookmarkStart w:id="471" w:name="_Toc228825762"/>
      <w:bookmarkStart w:id="472" w:name="_Toc228825895"/>
      <w:r>
        <w:rPr>
          <w:rFonts w:hint="eastAsia"/>
        </w:rPr>
        <w:t>7.3 设备存放与维护</w:t>
      </w:r>
      <w:bookmarkEnd w:id="468"/>
      <w:bookmarkEnd w:id="469"/>
      <w:bookmarkEnd w:id="470"/>
      <w:bookmarkEnd w:id="471"/>
      <w:bookmarkEnd w:id="472"/>
    </w:p>
    <w:p w14:paraId="0B37A653">
      <w:pPr>
        <w:pStyle w:val="32"/>
        <w:ind w:firstLine="0" w:firstLineChars="0"/>
        <w:rPr>
          <w:rFonts w:hint="eastAsia"/>
        </w:rPr>
      </w:pPr>
      <w:bookmarkStart w:id="473" w:name="_Toc228824600"/>
      <w:bookmarkStart w:id="474" w:name="_Toc228825896"/>
      <w:bookmarkStart w:id="475" w:name="_Toc228825763"/>
      <w:r>
        <w:t>7</w:t>
      </w:r>
      <w:r>
        <w:rPr>
          <w:rFonts w:hint="eastAsia"/>
        </w:rPr>
        <w:t>.3.1设备存放</w:t>
      </w:r>
      <w:bookmarkEnd w:id="473"/>
      <w:bookmarkEnd w:id="474"/>
      <w:bookmarkEnd w:id="475"/>
    </w:p>
    <w:p w14:paraId="6558F4DC">
      <w:pPr>
        <w:pStyle w:val="32"/>
        <w:ind w:firstLine="420"/>
        <w:rPr>
          <w:rFonts w:hint="eastAsia"/>
        </w:rPr>
      </w:pPr>
      <w:r>
        <w:t>a) 无人机应存放在无人机存储箱或包装箱内，并放置在</w:t>
      </w:r>
      <w:r>
        <w:rPr>
          <w:rFonts w:hint="eastAsia"/>
        </w:rPr>
        <w:t>船</w:t>
      </w:r>
      <w:r>
        <w:t>舱内室温环境下，防止阳光直接照射</w:t>
      </w:r>
      <w:r>
        <w:rPr>
          <w:rFonts w:hint="eastAsia"/>
        </w:rPr>
        <w:t>。</w:t>
      </w:r>
    </w:p>
    <w:p w14:paraId="2AD3A275">
      <w:pPr>
        <w:pStyle w:val="32"/>
        <w:ind w:firstLine="420"/>
        <w:rPr>
          <w:rFonts w:hint="eastAsia"/>
        </w:rPr>
      </w:pPr>
      <w:bookmarkStart w:id="476" w:name="OLE_LINK39"/>
      <w:r>
        <w:rPr>
          <w:rFonts w:hint="eastAsia"/>
        </w:rPr>
        <w:t xml:space="preserve">b) </w:t>
      </w:r>
      <w:bookmarkEnd w:id="476"/>
      <w:r>
        <w:rPr>
          <w:rFonts w:hint="eastAsia"/>
        </w:rPr>
        <w:t>无人机存储箱或包装箱内应附货物清单、产品说明书及使用维护记录本。</w:t>
      </w:r>
    </w:p>
    <w:p w14:paraId="341D9185">
      <w:pPr>
        <w:pStyle w:val="32"/>
        <w:ind w:firstLine="420"/>
        <w:rPr>
          <w:rFonts w:hint="eastAsia"/>
        </w:rPr>
      </w:pPr>
      <w:r>
        <w:rPr>
          <w:rFonts w:hint="eastAsia"/>
        </w:rPr>
        <w:t>c) 应采用</w:t>
      </w:r>
      <w:r>
        <w:t>束紧带</w:t>
      </w:r>
      <w:r>
        <w:rPr>
          <w:rFonts w:hint="eastAsia"/>
        </w:rPr>
        <w:t>和</w:t>
      </w:r>
      <w:r>
        <w:t>地锚</w:t>
      </w:r>
      <w:r>
        <w:rPr>
          <w:rFonts w:hint="eastAsia"/>
        </w:rPr>
        <w:t>固定等方式做好防潮、防震及防摇晃措施，保证</w:t>
      </w:r>
      <w:r>
        <w:t>极端海况下的</w:t>
      </w:r>
      <w:r>
        <w:rPr>
          <w:rFonts w:hint="eastAsia"/>
        </w:rPr>
        <w:t>最大横摇角度30°时，存储箱不移动或翻滚。</w:t>
      </w:r>
    </w:p>
    <w:p w14:paraId="4325C33C">
      <w:pPr>
        <w:pStyle w:val="32"/>
        <w:ind w:firstLine="420"/>
        <w:rPr>
          <w:rFonts w:hint="eastAsia"/>
        </w:rPr>
      </w:pPr>
      <w:r>
        <w:rPr>
          <w:rFonts w:hint="eastAsia"/>
        </w:rPr>
        <w:t xml:space="preserve">d) 电池等带电设备应断电后单独储存，存放环境应做防火、防水、防腐蚀措施。 </w:t>
      </w:r>
    </w:p>
    <w:p w14:paraId="4A5D7078">
      <w:pPr>
        <w:pStyle w:val="32"/>
        <w:ind w:firstLine="0" w:firstLineChars="0"/>
        <w:rPr>
          <w:rFonts w:hint="eastAsia"/>
        </w:rPr>
      </w:pPr>
      <w:bookmarkStart w:id="477" w:name="_Toc228825764"/>
      <w:bookmarkStart w:id="478" w:name="_Toc228824601"/>
      <w:bookmarkStart w:id="479" w:name="_Toc228825897"/>
      <w:r>
        <w:t>7</w:t>
      </w:r>
      <w:r>
        <w:rPr>
          <w:rFonts w:hint="eastAsia"/>
        </w:rPr>
        <w:t>.3.</w:t>
      </w:r>
      <w:r>
        <w:t xml:space="preserve">2 </w:t>
      </w:r>
      <w:r>
        <w:rPr>
          <w:rFonts w:hint="eastAsia"/>
        </w:rPr>
        <w:t>设备维护</w:t>
      </w:r>
      <w:bookmarkEnd w:id="477"/>
      <w:bookmarkEnd w:id="478"/>
      <w:bookmarkEnd w:id="479"/>
    </w:p>
    <w:p w14:paraId="45E947C4">
      <w:pPr>
        <w:pStyle w:val="32"/>
        <w:ind w:firstLine="0" w:firstLineChars="0"/>
        <w:rPr>
          <w:rFonts w:hint="eastAsia"/>
        </w:rPr>
      </w:pPr>
      <w:r>
        <w:rPr>
          <w:rFonts w:hint="eastAsia"/>
        </w:rPr>
        <w:t xml:space="preserve">7.3.2.1 </w:t>
      </w:r>
      <w:r>
        <w:t>无人机系统</w:t>
      </w:r>
      <w:r>
        <w:rPr>
          <w:rFonts w:hint="eastAsia"/>
        </w:rPr>
        <w:t>维护</w:t>
      </w:r>
    </w:p>
    <w:p w14:paraId="20469196">
      <w:pPr>
        <w:pStyle w:val="32"/>
        <w:ind w:firstLine="420"/>
        <w:rPr>
          <w:rFonts w:hint="eastAsia"/>
        </w:rPr>
      </w:pPr>
      <w:r>
        <w:t>无人机系统各组成部分应按照产品说明书、保养手册规定，按时、定期保养维护。</w:t>
      </w:r>
    </w:p>
    <w:p w14:paraId="6E495058">
      <w:pPr>
        <w:pStyle w:val="32"/>
        <w:ind w:firstLine="0" w:firstLineChars="0"/>
        <w:rPr>
          <w:rFonts w:hint="eastAsia"/>
        </w:rPr>
      </w:pPr>
      <w:r>
        <w:rPr>
          <w:rFonts w:hint="eastAsia"/>
        </w:rPr>
        <w:t>7.3.2.2 电池维护</w:t>
      </w:r>
    </w:p>
    <w:p w14:paraId="0E185AF6">
      <w:pPr>
        <w:pStyle w:val="32"/>
        <w:ind w:firstLine="420"/>
        <w:rPr>
          <w:rFonts w:hint="eastAsia"/>
        </w:rPr>
      </w:pPr>
      <w:r>
        <w:t>a)</w:t>
      </w:r>
      <w:r>
        <w:rPr>
          <w:rFonts w:hint="eastAsia"/>
        </w:rPr>
        <w:t xml:space="preserve"> 每周检查电池储存状态；</w:t>
      </w:r>
    </w:p>
    <w:p w14:paraId="53951767">
      <w:pPr>
        <w:pStyle w:val="32"/>
        <w:ind w:firstLine="420"/>
        <w:rPr>
          <w:rFonts w:hint="eastAsia"/>
        </w:rPr>
      </w:pPr>
      <w:r>
        <w:rPr>
          <w:rFonts w:hint="eastAsia"/>
        </w:rPr>
        <w:t xml:space="preserve">b) </w:t>
      </w:r>
      <w:r>
        <w:t>在</w:t>
      </w:r>
      <w:r>
        <w:rPr>
          <w:rFonts w:hint="eastAsia"/>
        </w:rPr>
        <w:t>有</w:t>
      </w:r>
      <w:r>
        <w:t>人照看的情况下使用原装电池</w:t>
      </w:r>
      <w:r>
        <w:rPr>
          <w:rFonts w:hint="eastAsia"/>
        </w:rPr>
        <w:t>进行电池充电，</w:t>
      </w:r>
      <w:r>
        <w:t>充电</w:t>
      </w:r>
      <w:r>
        <w:rPr>
          <w:rFonts w:hint="eastAsia"/>
        </w:rPr>
        <w:t>时需</w:t>
      </w:r>
      <w:r>
        <w:t>提供稳定的电压及足够</w:t>
      </w:r>
      <w:r>
        <w:rPr>
          <w:rFonts w:hint="eastAsia"/>
        </w:rPr>
        <w:t>的</w:t>
      </w:r>
      <w:r>
        <w:t>功率，</w:t>
      </w:r>
      <w:r>
        <w:rPr>
          <w:rFonts w:hint="eastAsia"/>
        </w:rPr>
        <w:t>并</w:t>
      </w:r>
      <w:r>
        <w:t>将充电器放置在耐热，不易燃及绝缘体的表面</w:t>
      </w:r>
      <w:r>
        <w:rPr>
          <w:rFonts w:hint="eastAsia"/>
        </w:rPr>
        <w:t>，</w:t>
      </w:r>
      <w:r>
        <w:t>远离易燃易爆物品</w:t>
      </w:r>
      <w:r>
        <w:rPr>
          <w:rFonts w:hint="eastAsia"/>
        </w:rPr>
        <w:t>和</w:t>
      </w:r>
      <w:r>
        <w:t>灰尘、潮湿、雨、高温等恶劣环境</w:t>
      </w:r>
      <w:r>
        <w:rPr>
          <w:rFonts w:hint="eastAsia"/>
        </w:rPr>
        <w:t>，</w:t>
      </w:r>
      <w:r>
        <w:t>避免阳光直射、强烈振动及强烈碰撞充电器等物理因素损伤</w:t>
      </w:r>
      <w:r>
        <w:rPr>
          <w:rFonts w:hint="eastAsia"/>
        </w:rPr>
        <w:t>，如</w:t>
      </w:r>
      <w:r>
        <w:t>有任何功能异常，立即中断充电并对照说明书查明原因</w:t>
      </w:r>
      <w:r>
        <w:rPr>
          <w:rFonts w:hint="eastAsia"/>
        </w:rPr>
        <w:t>。</w:t>
      </w:r>
    </w:p>
    <w:p w14:paraId="048A8F24">
      <w:pPr>
        <w:pStyle w:val="37"/>
        <w:spacing w:before="240" w:after="240"/>
        <w:rPr>
          <w:rFonts w:hint="eastAsia"/>
        </w:rPr>
      </w:pPr>
      <w:bookmarkStart w:id="480" w:name="_Toc228825765"/>
      <w:bookmarkStart w:id="481" w:name="_Toc228825898"/>
      <w:bookmarkStart w:id="482" w:name="_Toc228826471"/>
      <w:bookmarkStart w:id="483" w:name="_Toc228826597"/>
      <w:bookmarkStart w:id="484" w:name="_Toc228824602"/>
      <w:r>
        <w:rPr>
          <w:rFonts w:hint="eastAsia"/>
        </w:rPr>
        <w:t xml:space="preserve">8 </w:t>
      </w:r>
      <w:r>
        <w:t>应急处置</w:t>
      </w:r>
      <w:bookmarkEnd w:id="480"/>
      <w:bookmarkEnd w:id="481"/>
      <w:bookmarkEnd w:id="482"/>
      <w:bookmarkEnd w:id="483"/>
      <w:bookmarkEnd w:id="484"/>
    </w:p>
    <w:p w14:paraId="63CB7D8C">
      <w:pPr>
        <w:pStyle w:val="38"/>
      </w:pPr>
      <w:bookmarkStart w:id="485" w:name="_Toc228826472"/>
      <w:bookmarkStart w:id="486" w:name="_Toc228826598"/>
      <w:bookmarkStart w:id="487" w:name="_Toc228825766"/>
      <w:bookmarkStart w:id="488" w:name="_Toc228824603"/>
      <w:bookmarkStart w:id="489" w:name="_Toc228825899"/>
      <w:r>
        <w:rPr>
          <w:rFonts w:hint="eastAsia"/>
        </w:rPr>
        <w:t xml:space="preserve">8.1 </w:t>
      </w:r>
      <w:r>
        <w:t>应急预案编制</w:t>
      </w:r>
      <w:bookmarkEnd w:id="485"/>
      <w:bookmarkEnd w:id="486"/>
      <w:bookmarkEnd w:id="487"/>
      <w:bookmarkEnd w:id="488"/>
      <w:bookmarkEnd w:id="489"/>
    </w:p>
    <w:p w14:paraId="5FEFD58D">
      <w:pPr>
        <w:pStyle w:val="32"/>
        <w:ind w:firstLine="420"/>
        <w:rPr>
          <w:rFonts w:hint="eastAsia"/>
        </w:rPr>
      </w:pPr>
      <w:r>
        <w:rPr>
          <w:rFonts w:hint="eastAsia"/>
        </w:rPr>
        <w:t>无人机</w:t>
      </w:r>
      <w:r>
        <w:t>海上作业</w:t>
      </w:r>
      <w:r>
        <w:rPr>
          <w:rFonts w:hint="eastAsia"/>
        </w:rPr>
        <w:t>应针对可能</w:t>
      </w:r>
      <w:r>
        <w:t>面临</w:t>
      </w:r>
      <w:r>
        <w:rPr>
          <w:rFonts w:hint="eastAsia"/>
        </w:rPr>
        <w:t>的</w:t>
      </w:r>
      <w:r>
        <w:t>恶劣天气</w:t>
      </w:r>
      <w:r>
        <w:rPr>
          <w:rFonts w:hint="eastAsia"/>
        </w:rPr>
        <w:t>突变、</w:t>
      </w:r>
      <w:r>
        <w:t>无人</w:t>
      </w:r>
      <w:r>
        <w:rPr>
          <w:rFonts w:hint="eastAsia"/>
        </w:rPr>
        <w:t>机</w:t>
      </w:r>
      <w:r>
        <w:t>系统故障</w:t>
      </w:r>
      <w:r>
        <w:rPr>
          <w:rFonts w:hint="eastAsia"/>
        </w:rPr>
        <w:t>、</w:t>
      </w:r>
      <w:bookmarkStart w:id="490" w:name="OLE_LINK26"/>
      <w:r>
        <w:t>紧急迫降</w:t>
      </w:r>
      <w:bookmarkEnd w:id="490"/>
      <w:r>
        <w:rPr>
          <w:rFonts w:hint="eastAsia"/>
        </w:rPr>
        <w:t>、人员</w:t>
      </w:r>
      <w:r>
        <w:t>落水、</w:t>
      </w:r>
      <w:bookmarkStart w:id="491" w:name="OLE_LINK28"/>
      <w:r>
        <w:t>作业中失火</w:t>
      </w:r>
      <w:bookmarkEnd w:id="491"/>
      <w:r>
        <w:t>等特殊风险，制定</w:t>
      </w:r>
      <w:r>
        <w:rPr>
          <w:rFonts w:hint="eastAsia"/>
        </w:rPr>
        <w:t>有</w:t>
      </w:r>
      <w:r>
        <w:t>针对性的防控措施和应急预案</w:t>
      </w:r>
      <w:r>
        <w:rPr>
          <w:rFonts w:hint="eastAsia"/>
        </w:rPr>
        <w:t>，并明确</w:t>
      </w:r>
      <w:r>
        <w:t>应急预案的启动条件</w:t>
      </w:r>
      <w:r>
        <w:rPr>
          <w:rFonts w:hint="eastAsia"/>
        </w:rPr>
        <w:t>、</w:t>
      </w:r>
      <w:r>
        <w:t>处置流程</w:t>
      </w:r>
      <w:r>
        <w:rPr>
          <w:rFonts w:hint="eastAsia"/>
        </w:rPr>
        <w:t>、</w:t>
      </w:r>
      <w:r>
        <w:t>决策流程</w:t>
      </w:r>
      <w:r>
        <w:rPr>
          <w:rFonts w:hint="eastAsia"/>
        </w:rPr>
        <w:t>以及</w:t>
      </w:r>
      <w:r>
        <w:t>紧急情况下的指挥权归属</w:t>
      </w:r>
      <w:r>
        <w:rPr>
          <w:rFonts w:hint="eastAsia"/>
        </w:rPr>
        <w:t>。</w:t>
      </w:r>
    </w:p>
    <w:p w14:paraId="4A62889A">
      <w:pPr>
        <w:pStyle w:val="32"/>
        <w:ind w:firstLine="0" w:firstLineChars="0"/>
        <w:rPr>
          <w:rFonts w:hint="eastAsia"/>
        </w:rPr>
      </w:pPr>
      <w:bookmarkStart w:id="492" w:name="_Toc228825900"/>
      <w:bookmarkStart w:id="493" w:name="_Toc228825767"/>
      <w:bookmarkStart w:id="494" w:name="_Toc228824604"/>
      <w:r>
        <w:t>8.1.1 恶劣天气突变</w:t>
      </w:r>
      <w:bookmarkEnd w:id="492"/>
      <w:bookmarkEnd w:id="493"/>
      <w:bookmarkEnd w:id="494"/>
    </w:p>
    <w:p w14:paraId="411F48D2">
      <w:pPr>
        <w:pStyle w:val="32"/>
        <w:ind w:firstLine="420"/>
        <w:rPr>
          <w:rFonts w:hint="eastAsia"/>
        </w:rPr>
      </w:pPr>
      <w:r>
        <w:rPr>
          <w:rFonts w:hint="eastAsia"/>
        </w:rPr>
        <w:t>针对</w:t>
      </w:r>
      <w:r>
        <w:t>作业期间天气突然变差</w:t>
      </w:r>
      <w:r>
        <w:rPr>
          <w:rFonts w:hint="eastAsia"/>
        </w:rPr>
        <w:t>，</w:t>
      </w:r>
      <w:r>
        <w:t>预案应包括立即决策返航或执行海上迫降</w:t>
      </w:r>
      <w:r>
        <w:rPr>
          <w:rFonts w:hint="eastAsia"/>
        </w:rPr>
        <w:t>等</w:t>
      </w:r>
      <w:r>
        <w:t>。</w:t>
      </w:r>
    </w:p>
    <w:p w14:paraId="79FCF398">
      <w:pPr>
        <w:pStyle w:val="32"/>
        <w:ind w:firstLine="0" w:firstLineChars="0"/>
        <w:rPr>
          <w:rFonts w:hint="eastAsia"/>
        </w:rPr>
      </w:pPr>
      <w:bookmarkStart w:id="495" w:name="_Toc228825768"/>
      <w:bookmarkStart w:id="496" w:name="_Toc228824605"/>
      <w:bookmarkStart w:id="497" w:name="_Toc228825901"/>
      <w:r>
        <w:t>8.1.2 无人机系统故障</w:t>
      </w:r>
      <w:bookmarkEnd w:id="495"/>
      <w:bookmarkEnd w:id="496"/>
      <w:bookmarkEnd w:id="497"/>
    </w:p>
    <w:p w14:paraId="7145CA87">
      <w:pPr>
        <w:pStyle w:val="32"/>
        <w:ind w:firstLine="420"/>
        <w:rPr>
          <w:rFonts w:hint="eastAsia"/>
        </w:rPr>
      </w:pPr>
      <w:r>
        <w:rPr>
          <w:rFonts w:hint="eastAsia"/>
        </w:rPr>
        <w:t>针对</w:t>
      </w:r>
      <w:r>
        <w:t>无人</w:t>
      </w:r>
      <w:r>
        <w:rPr>
          <w:rFonts w:hint="eastAsia"/>
        </w:rPr>
        <w:t>机</w:t>
      </w:r>
      <w:r>
        <w:t>在起降阶段失控，可能撞击船体或落水</w:t>
      </w:r>
      <w:r>
        <w:rPr>
          <w:rFonts w:hint="eastAsia"/>
        </w:rPr>
        <w:t>，</w:t>
      </w:r>
      <w:r>
        <w:t>预案应包括立即通知驾驶台调整航行、准备打捞工具等。</w:t>
      </w:r>
    </w:p>
    <w:p w14:paraId="3B4C7436">
      <w:pPr>
        <w:pStyle w:val="32"/>
        <w:ind w:firstLine="0" w:firstLineChars="0"/>
        <w:rPr>
          <w:rFonts w:hint="eastAsia"/>
        </w:rPr>
      </w:pPr>
      <w:bookmarkStart w:id="498" w:name="_Toc228825769"/>
      <w:bookmarkStart w:id="499" w:name="_Toc228824606"/>
      <w:bookmarkStart w:id="500" w:name="_Toc228825902"/>
      <w:r>
        <w:t>8.1.3 紧急迫降</w:t>
      </w:r>
      <w:bookmarkEnd w:id="498"/>
      <w:bookmarkEnd w:id="499"/>
      <w:bookmarkEnd w:id="500"/>
    </w:p>
    <w:p w14:paraId="677870C5">
      <w:pPr>
        <w:pStyle w:val="32"/>
        <w:ind w:firstLine="420"/>
        <w:rPr>
          <w:rFonts w:hint="eastAsia"/>
        </w:rPr>
      </w:pPr>
      <w:r>
        <w:rPr>
          <w:rFonts w:hint="eastAsia"/>
        </w:rPr>
        <w:t>针对</w:t>
      </w:r>
      <w:r>
        <w:t>无人</w:t>
      </w:r>
      <w:r>
        <w:rPr>
          <w:rFonts w:hint="eastAsia"/>
        </w:rPr>
        <w:t>机</w:t>
      </w:r>
      <w:r>
        <w:t>因故障无法返航，需在海面迫降</w:t>
      </w:r>
      <w:r>
        <w:rPr>
          <w:rFonts w:hint="eastAsia"/>
        </w:rPr>
        <w:t>，</w:t>
      </w:r>
      <w:r>
        <w:t>预案应包括记录落水点坐标、评估回收可行性、执行回收程序。</w:t>
      </w:r>
    </w:p>
    <w:p w14:paraId="3B52A0C4">
      <w:pPr>
        <w:pStyle w:val="32"/>
        <w:ind w:firstLine="0" w:firstLineChars="0"/>
        <w:rPr>
          <w:rFonts w:hint="eastAsia"/>
        </w:rPr>
      </w:pPr>
      <w:bookmarkStart w:id="501" w:name="_Toc228825770"/>
      <w:bookmarkStart w:id="502" w:name="_Toc228824607"/>
      <w:bookmarkStart w:id="503" w:name="_Toc228825903"/>
      <w:r>
        <w:t>8.1.4 人员落水</w:t>
      </w:r>
      <w:bookmarkEnd w:id="501"/>
      <w:bookmarkEnd w:id="502"/>
      <w:bookmarkEnd w:id="503"/>
    </w:p>
    <w:p w14:paraId="159459D5">
      <w:pPr>
        <w:pStyle w:val="32"/>
        <w:ind w:firstLine="420"/>
        <w:rPr>
          <w:rFonts w:hint="eastAsia"/>
        </w:rPr>
      </w:pPr>
      <w:r>
        <w:rPr>
          <w:rFonts w:hint="eastAsia"/>
        </w:rPr>
        <w:t>针对</w:t>
      </w:r>
      <w:r>
        <w:t>甲板作业人员意外落水</w:t>
      </w:r>
      <w:r>
        <w:rPr>
          <w:rFonts w:hint="eastAsia"/>
        </w:rPr>
        <w:t>，</w:t>
      </w:r>
      <w:r>
        <w:t>预案应与船舶的“人员落水应急预案”联动。</w:t>
      </w:r>
    </w:p>
    <w:p w14:paraId="7F590A53">
      <w:pPr>
        <w:pStyle w:val="32"/>
        <w:ind w:firstLine="0" w:firstLineChars="0"/>
        <w:rPr>
          <w:rFonts w:hint="eastAsia"/>
        </w:rPr>
      </w:pPr>
      <w:bookmarkStart w:id="504" w:name="_Toc228824608"/>
      <w:bookmarkStart w:id="505" w:name="_Toc228825904"/>
      <w:bookmarkStart w:id="506" w:name="_Toc228825771"/>
      <w:r>
        <w:t>8.1.5 作业中失火</w:t>
      </w:r>
      <w:bookmarkEnd w:id="504"/>
      <w:bookmarkEnd w:id="505"/>
      <w:bookmarkEnd w:id="506"/>
    </w:p>
    <w:p w14:paraId="68398810">
      <w:pPr>
        <w:pStyle w:val="32"/>
        <w:ind w:firstLine="420"/>
        <w:rPr>
          <w:rFonts w:hint="eastAsia"/>
        </w:rPr>
      </w:pPr>
      <w:r>
        <w:rPr>
          <w:rFonts w:hint="eastAsia"/>
        </w:rPr>
        <w:t>针对</w:t>
      </w:r>
      <w:r>
        <w:t>无人</w:t>
      </w:r>
      <w:r>
        <w:rPr>
          <w:rFonts w:hint="eastAsia"/>
        </w:rPr>
        <w:t>机</w:t>
      </w:r>
      <w:r>
        <w:t>电池在充电或作业中失火</w:t>
      </w:r>
      <w:r>
        <w:rPr>
          <w:rFonts w:hint="eastAsia"/>
        </w:rPr>
        <w:t>，</w:t>
      </w:r>
      <w:r>
        <w:t>预案应包括使用何种灭火器、隔离措施等。</w:t>
      </w:r>
    </w:p>
    <w:p w14:paraId="074E821E">
      <w:pPr>
        <w:pStyle w:val="38"/>
      </w:pPr>
      <w:bookmarkStart w:id="507" w:name="_Toc228825772"/>
      <w:bookmarkStart w:id="508" w:name="_Toc228824609"/>
      <w:bookmarkStart w:id="509" w:name="_Toc228826599"/>
      <w:bookmarkStart w:id="510" w:name="_Toc228826473"/>
      <w:bookmarkStart w:id="511" w:name="_Toc228825905"/>
      <w:r>
        <w:rPr>
          <w:rFonts w:hint="eastAsia"/>
        </w:rPr>
        <w:t>8</w:t>
      </w:r>
      <w:r>
        <w:t>.</w:t>
      </w:r>
      <w:r>
        <w:rPr>
          <w:rFonts w:hint="eastAsia"/>
        </w:rPr>
        <w:t>2</w:t>
      </w:r>
      <w:r>
        <w:t xml:space="preserve"> 常见紧急情况处置</w:t>
      </w:r>
      <w:bookmarkEnd w:id="507"/>
      <w:bookmarkEnd w:id="508"/>
      <w:bookmarkEnd w:id="509"/>
      <w:bookmarkEnd w:id="510"/>
      <w:bookmarkEnd w:id="511"/>
    </w:p>
    <w:p w14:paraId="118F9D8F">
      <w:pPr>
        <w:pStyle w:val="32"/>
        <w:ind w:firstLine="0" w:firstLineChars="0"/>
        <w:rPr>
          <w:rFonts w:hint="eastAsia"/>
        </w:rPr>
      </w:pPr>
      <w:bookmarkStart w:id="512" w:name="_Toc228825773"/>
      <w:bookmarkStart w:id="513" w:name="_Toc228824610"/>
      <w:bookmarkStart w:id="514" w:name="_Toc228825906"/>
      <w:bookmarkStart w:id="515" w:name="OLE_LINK22"/>
      <w:r>
        <w:t>8.2.1 无人机失控或偏离航线</w:t>
      </w:r>
      <w:bookmarkEnd w:id="512"/>
      <w:bookmarkEnd w:id="513"/>
      <w:bookmarkEnd w:id="514"/>
    </w:p>
    <w:p w14:paraId="48A6E9C6">
      <w:pPr>
        <w:pStyle w:val="32"/>
        <w:ind w:firstLine="0" w:firstLineChars="0"/>
        <w:rPr>
          <w:rFonts w:hint="eastAsia"/>
        </w:rPr>
      </w:pPr>
      <w:r>
        <w:rPr>
          <w:rFonts w:hint="eastAsia"/>
        </w:rPr>
        <w:t>8</w:t>
      </w:r>
      <w:r>
        <w:t>.</w:t>
      </w:r>
      <w:r>
        <w:rPr>
          <w:rFonts w:hint="eastAsia"/>
        </w:rPr>
        <w:t>2</w:t>
      </w:r>
      <w:r>
        <w:t xml:space="preserve">.1.1 </w:t>
      </w:r>
      <w:r>
        <w:rPr>
          <w:rFonts w:hint="eastAsia"/>
        </w:rPr>
        <w:t>切换操控模式</w:t>
      </w:r>
    </w:p>
    <w:p w14:paraId="4D9C21F5">
      <w:pPr>
        <w:pStyle w:val="32"/>
        <w:ind w:firstLine="420"/>
        <w:rPr>
          <w:rFonts w:hint="eastAsia"/>
        </w:rPr>
      </w:pPr>
      <w:r>
        <w:t>若无人</w:t>
      </w:r>
      <w:r>
        <w:rPr>
          <w:rFonts w:hint="eastAsia"/>
        </w:rPr>
        <w:t>机</w:t>
      </w:r>
      <w:r>
        <w:t>出现非指令性飞行或偏离预设航线，操控员应立即将遥控器飞行模式切换至“姿态模式”或“手动模式”，尝试夺回最高控制权，手动将无人</w:t>
      </w:r>
      <w:r>
        <w:rPr>
          <w:rFonts w:hint="eastAsia"/>
        </w:rPr>
        <w:t>机</w:t>
      </w:r>
      <w:r>
        <w:t>飞回安全区域。</w:t>
      </w:r>
    </w:p>
    <w:p w14:paraId="606A83E2">
      <w:pPr>
        <w:pStyle w:val="32"/>
        <w:ind w:firstLine="0" w:firstLineChars="0"/>
        <w:rPr>
          <w:rFonts w:hint="eastAsia"/>
        </w:rPr>
      </w:pPr>
      <w:r>
        <w:rPr>
          <w:rFonts w:hint="eastAsia"/>
        </w:rPr>
        <w:t>8</w:t>
      </w:r>
      <w:r>
        <w:t>.</w:t>
      </w:r>
      <w:r>
        <w:rPr>
          <w:rFonts w:hint="eastAsia"/>
        </w:rPr>
        <w:t>2</w:t>
      </w:r>
      <w:r>
        <w:t>.1.2 触发地面站“一键返航”</w:t>
      </w:r>
    </w:p>
    <w:p w14:paraId="79CF97E1">
      <w:pPr>
        <w:pStyle w:val="32"/>
        <w:ind w:firstLine="420"/>
        <w:rPr>
          <w:rFonts w:hint="eastAsia"/>
        </w:rPr>
      </w:pPr>
      <w:r>
        <w:t>若手动控制无效，应立即触发地面站的“一键返航”功能。同时，通过对讲机向船舶驾驶台紧急通报：“无人驾驶航空器失控，已启动自动返航，请保持</w:t>
      </w:r>
      <w:r>
        <w:rPr>
          <w:rFonts w:hint="eastAsia"/>
        </w:rPr>
        <w:t>船舶</w:t>
      </w:r>
      <w:r>
        <w:t>当前航向航速不变！”</w:t>
      </w:r>
    </w:p>
    <w:p w14:paraId="719FC540">
      <w:pPr>
        <w:pStyle w:val="32"/>
        <w:ind w:firstLine="0" w:firstLineChars="0"/>
        <w:rPr>
          <w:rFonts w:hint="eastAsia"/>
        </w:rPr>
      </w:pPr>
      <w:r>
        <w:rPr>
          <w:rFonts w:hint="eastAsia"/>
        </w:rPr>
        <w:t>8</w:t>
      </w:r>
      <w:r>
        <w:t>.</w:t>
      </w:r>
      <w:r>
        <w:rPr>
          <w:rFonts w:hint="eastAsia"/>
        </w:rPr>
        <w:t>2</w:t>
      </w:r>
      <w:r>
        <w:t>.1.3 执行最终紧急措施</w:t>
      </w:r>
    </w:p>
    <w:p w14:paraId="2C0297D0">
      <w:pPr>
        <w:pStyle w:val="32"/>
        <w:ind w:firstLine="420"/>
        <w:rPr>
          <w:rFonts w:hint="eastAsia"/>
        </w:rPr>
      </w:pPr>
      <w:r>
        <w:t>若所有远程指令均失效，且无人</w:t>
      </w:r>
      <w:r>
        <w:rPr>
          <w:rFonts w:hint="eastAsia"/>
        </w:rPr>
        <w:t>机</w:t>
      </w:r>
      <w:r>
        <w:t>构成对船舶、人员或其他设施的紧迫碰撞威胁，操控员应果断决策，在评估环境影响后，执行最终紧急措施，如远程切断动力（若系统支持）。</w:t>
      </w:r>
    </w:p>
    <w:p w14:paraId="7A86D0D0">
      <w:pPr>
        <w:pStyle w:val="32"/>
        <w:ind w:firstLine="0" w:firstLineChars="0"/>
        <w:rPr>
          <w:rFonts w:hint="eastAsia"/>
        </w:rPr>
      </w:pPr>
      <w:bookmarkStart w:id="516" w:name="_Toc228825907"/>
      <w:bookmarkStart w:id="517" w:name="_Toc228824611"/>
      <w:bookmarkStart w:id="518" w:name="_Toc228825774"/>
      <w:r>
        <w:t>8.2.2 数据链路或图像传输链路中断</w:t>
      </w:r>
      <w:bookmarkEnd w:id="516"/>
      <w:bookmarkEnd w:id="517"/>
      <w:bookmarkEnd w:id="518"/>
    </w:p>
    <w:p w14:paraId="6C577C38">
      <w:pPr>
        <w:pStyle w:val="32"/>
        <w:ind w:firstLine="0" w:firstLineChars="0"/>
        <w:rPr>
          <w:rFonts w:hint="eastAsia"/>
        </w:rPr>
      </w:pPr>
      <w:r>
        <w:rPr>
          <w:rFonts w:hint="eastAsia"/>
        </w:rPr>
        <w:t>8</w:t>
      </w:r>
      <w:r>
        <w:t>.</w:t>
      </w:r>
      <w:r>
        <w:rPr>
          <w:rFonts w:hint="eastAsia"/>
        </w:rPr>
        <w:t>2</w:t>
      </w:r>
      <w:r>
        <w:t>.2.1 自动执行失联返航程序</w:t>
      </w:r>
    </w:p>
    <w:p w14:paraId="2105BBFE">
      <w:pPr>
        <w:pStyle w:val="32"/>
        <w:ind w:firstLine="420"/>
        <w:rPr>
          <w:rFonts w:hint="eastAsia"/>
        </w:rPr>
      </w:pPr>
      <w:r>
        <w:t>当数据链路中断超过无人</w:t>
      </w:r>
      <w:r>
        <w:rPr>
          <w:rFonts w:hint="eastAsia"/>
        </w:rPr>
        <w:t>机</w:t>
      </w:r>
      <w:r>
        <w:t>预设的失联返航等待时间（通常为10-30秒），无人</w:t>
      </w:r>
      <w:r>
        <w:rPr>
          <w:rFonts w:hint="eastAsia"/>
        </w:rPr>
        <w:t>机</w:t>
      </w:r>
      <w:r>
        <w:t>应能自动执行失联返航程序。</w:t>
      </w:r>
    </w:p>
    <w:p w14:paraId="0AEDF9AE">
      <w:pPr>
        <w:pStyle w:val="32"/>
        <w:ind w:firstLine="0" w:firstLineChars="0"/>
        <w:rPr>
          <w:rFonts w:hint="eastAsia"/>
        </w:rPr>
      </w:pPr>
      <w:r>
        <w:rPr>
          <w:rFonts w:hint="eastAsia"/>
        </w:rPr>
        <w:t>8</w:t>
      </w:r>
      <w:r>
        <w:t>.</w:t>
      </w:r>
      <w:r>
        <w:rPr>
          <w:rFonts w:hint="eastAsia"/>
        </w:rPr>
        <w:t>2</w:t>
      </w:r>
      <w:r>
        <w:t xml:space="preserve">.2.2 </w:t>
      </w:r>
      <w:r>
        <w:rPr>
          <w:rFonts w:hint="eastAsia"/>
        </w:rPr>
        <w:t>调整地面站位置恢复信号</w:t>
      </w:r>
    </w:p>
    <w:p w14:paraId="7409BFA2">
      <w:pPr>
        <w:pStyle w:val="32"/>
        <w:ind w:firstLine="420"/>
        <w:rPr>
          <w:rFonts w:hint="eastAsia"/>
        </w:rPr>
      </w:pPr>
      <w:r>
        <w:t>在此期间，操控员应保持地面站设备开启，并尝试调整天线指向或移动地面站位置以恢复信号。同时，通知船舶驾驶台保持航向稳定，为无人</w:t>
      </w:r>
      <w:r>
        <w:rPr>
          <w:rFonts w:hint="eastAsia"/>
        </w:rPr>
        <w:t>机</w:t>
      </w:r>
      <w:r>
        <w:t>自动返航创造有利条件。</w:t>
      </w:r>
    </w:p>
    <w:p w14:paraId="6C995D54">
      <w:pPr>
        <w:pStyle w:val="32"/>
        <w:ind w:firstLine="0" w:firstLineChars="0"/>
        <w:rPr>
          <w:rFonts w:hint="eastAsia"/>
        </w:rPr>
      </w:pPr>
      <w:r>
        <w:rPr>
          <w:rFonts w:hint="eastAsia"/>
        </w:rPr>
        <w:t>8</w:t>
      </w:r>
      <w:r>
        <w:t>.</w:t>
      </w:r>
      <w:r>
        <w:rPr>
          <w:rFonts w:hint="eastAsia"/>
        </w:rPr>
        <w:t>2</w:t>
      </w:r>
      <w:r>
        <w:t>.2.3 手动引导返航</w:t>
      </w:r>
    </w:p>
    <w:p w14:paraId="3509AB2E">
      <w:pPr>
        <w:pStyle w:val="32"/>
        <w:ind w:firstLine="420"/>
        <w:rPr>
          <w:rFonts w:hint="eastAsia"/>
        </w:rPr>
      </w:pPr>
      <w:r>
        <w:t>若仅图像传输链路中断，但数据链路正常，操控员应依据地面站地图和遥测数据继续监控无人</w:t>
      </w:r>
      <w:r>
        <w:rPr>
          <w:rFonts w:hint="eastAsia"/>
        </w:rPr>
        <w:t>机</w:t>
      </w:r>
      <w:r>
        <w:t>飞行，并手动引导其返航。</w:t>
      </w:r>
    </w:p>
    <w:p w14:paraId="4EF8CAF8">
      <w:pPr>
        <w:pStyle w:val="32"/>
        <w:ind w:firstLine="0" w:firstLineChars="0"/>
        <w:rPr>
          <w:rFonts w:hint="eastAsia"/>
        </w:rPr>
      </w:pPr>
      <w:bookmarkStart w:id="519" w:name="_Toc228825775"/>
      <w:bookmarkStart w:id="520" w:name="_Toc228825908"/>
      <w:bookmarkStart w:id="521" w:name="_Toc228824612"/>
      <w:r>
        <w:t>8.2.3 无人机意外坠海</w:t>
      </w:r>
      <w:bookmarkEnd w:id="519"/>
      <w:bookmarkEnd w:id="520"/>
      <w:bookmarkEnd w:id="521"/>
    </w:p>
    <w:p w14:paraId="7CB143FC">
      <w:pPr>
        <w:pStyle w:val="32"/>
        <w:ind w:firstLine="0" w:firstLineChars="0"/>
        <w:rPr>
          <w:rFonts w:hint="eastAsia"/>
        </w:rPr>
      </w:pPr>
      <w:r>
        <w:rPr>
          <w:rFonts w:hint="eastAsia"/>
        </w:rPr>
        <w:t>8</w:t>
      </w:r>
      <w:r>
        <w:t>.</w:t>
      </w:r>
      <w:r>
        <w:rPr>
          <w:rFonts w:hint="eastAsia"/>
        </w:rPr>
        <w:t>2</w:t>
      </w:r>
      <w:r>
        <w:t>.3.1 标记最终失联</w:t>
      </w:r>
      <w:r>
        <w:rPr>
          <w:rFonts w:hint="eastAsia"/>
        </w:rPr>
        <w:t>位置</w:t>
      </w:r>
    </w:p>
    <w:p w14:paraId="398F5BF8">
      <w:pPr>
        <w:pStyle w:val="32"/>
        <w:ind w:firstLine="420"/>
        <w:rPr>
          <w:rFonts w:hint="eastAsia"/>
        </w:rPr>
      </w:pPr>
      <w:r>
        <w:t>一旦确认无人</w:t>
      </w:r>
      <w:r>
        <w:rPr>
          <w:rFonts w:hint="eastAsia"/>
        </w:rPr>
        <w:t>机</w:t>
      </w:r>
      <w:r>
        <w:t>坠海，操控员应立即在地面站地图上标记最终失联坐标。安全员应第一时间向坠海点投掷带有GPS定位浮标的救生圈或高亮度的漂浮标记物。</w:t>
      </w:r>
    </w:p>
    <w:p w14:paraId="37055907">
      <w:pPr>
        <w:pStyle w:val="32"/>
        <w:ind w:firstLine="0" w:firstLineChars="0"/>
        <w:rPr>
          <w:rFonts w:hint="eastAsia"/>
        </w:rPr>
      </w:pPr>
      <w:r>
        <w:rPr>
          <w:rFonts w:hint="eastAsia"/>
        </w:rPr>
        <w:t>8</w:t>
      </w:r>
      <w:r>
        <w:t>.</w:t>
      </w:r>
      <w:r>
        <w:rPr>
          <w:rFonts w:hint="eastAsia"/>
        </w:rPr>
        <w:t>2</w:t>
      </w:r>
      <w:r>
        <w:t>.3.2 组织开展搜寻打捞</w:t>
      </w:r>
    </w:p>
    <w:p w14:paraId="4BC804B2">
      <w:pPr>
        <w:pStyle w:val="32"/>
        <w:ind w:firstLine="420"/>
        <w:rPr>
          <w:rFonts w:hint="eastAsia"/>
        </w:rPr>
      </w:pPr>
      <w:r>
        <w:t>立即向船舶驾驶台报告坠海事件，提供精确的经纬度、坠海时间以及当时船舶的航向航速。船长根据现场情况，在确保航行安全的前提下，组织开展搜寻打捞。</w:t>
      </w:r>
    </w:p>
    <w:p w14:paraId="62396FB8">
      <w:pPr>
        <w:pStyle w:val="32"/>
        <w:ind w:firstLine="0" w:firstLineChars="0"/>
        <w:rPr>
          <w:rFonts w:hint="eastAsia"/>
        </w:rPr>
      </w:pPr>
      <w:r>
        <w:rPr>
          <w:rFonts w:hint="eastAsia"/>
        </w:rPr>
        <w:t>8</w:t>
      </w:r>
      <w:r>
        <w:t>.</w:t>
      </w:r>
      <w:r>
        <w:rPr>
          <w:rFonts w:hint="eastAsia"/>
        </w:rPr>
        <w:t>2</w:t>
      </w:r>
      <w:r>
        <w:t xml:space="preserve">.3.3 </w:t>
      </w:r>
      <w:r>
        <w:rPr>
          <w:rFonts w:hint="eastAsia"/>
        </w:rPr>
        <w:t>执行</w:t>
      </w:r>
      <w:r>
        <w:t>远程断电</w:t>
      </w:r>
    </w:p>
    <w:p w14:paraId="53690511">
      <w:pPr>
        <w:pStyle w:val="32"/>
        <w:ind w:firstLine="420"/>
        <w:rPr>
          <w:rFonts w:hint="eastAsia"/>
        </w:rPr>
      </w:pPr>
      <w:r>
        <w:t>若无人</w:t>
      </w:r>
      <w:r>
        <w:rPr>
          <w:rFonts w:hint="eastAsia"/>
        </w:rPr>
        <w:t>机</w:t>
      </w:r>
      <w:r>
        <w:t>配备远程断电功能，应立即执行，以防止锂电池因海水浸泡短路引发燃烧或爆炸。</w:t>
      </w:r>
    </w:p>
    <w:p w14:paraId="663E5409">
      <w:pPr>
        <w:pStyle w:val="32"/>
        <w:ind w:firstLine="0" w:firstLineChars="0"/>
        <w:rPr>
          <w:rFonts w:hint="eastAsia"/>
        </w:rPr>
      </w:pPr>
      <w:r>
        <w:rPr>
          <w:rFonts w:hint="eastAsia"/>
        </w:rPr>
        <w:t>8</w:t>
      </w:r>
      <w:r>
        <w:t>.</w:t>
      </w:r>
      <w:r>
        <w:rPr>
          <w:rFonts w:hint="eastAsia"/>
        </w:rPr>
        <w:t>2</w:t>
      </w:r>
      <w:r>
        <w:t xml:space="preserve">.3.4 </w:t>
      </w:r>
      <w:r>
        <w:rPr>
          <w:rFonts w:hint="eastAsia"/>
        </w:rPr>
        <w:t>向相关管理部门报告</w:t>
      </w:r>
    </w:p>
    <w:p w14:paraId="0E142FBE">
      <w:pPr>
        <w:pStyle w:val="32"/>
        <w:ind w:firstLine="420"/>
        <w:rPr>
          <w:rFonts w:hint="eastAsia"/>
        </w:rPr>
      </w:pPr>
      <w:r>
        <w:t>若</w:t>
      </w:r>
      <w:r>
        <w:rPr>
          <w:rFonts w:hint="eastAsia"/>
        </w:rPr>
        <w:t>无人机</w:t>
      </w:r>
      <w:r>
        <w:t>坠海位置影响航道安全，应按照规定向当地海事管理机构报告。</w:t>
      </w:r>
      <w:bookmarkEnd w:id="515"/>
    </w:p>
    <w:p w14:paraId="3E0896B7">
      <w:pPr>
        <w:pStyle w:val="32"/>
        <w:ind w:firstLine="0" w:firstLineChars="0"/>
      </w:pPr>
      <w:bookmarkStart w:id="522" w:name="_Toc228826600"/>
      <w:bookmarkStart w:id="523" w:name="_Toc228825776"/>
      <w:bookmarkStart w:id="524" w:name="_Toc228825909"/>
      <w:bookmarkStart w:id="525" w:name="_Toc228826474"/>
      <w:bookmarkStart w:id="526" w:name="_Toc228824613"/>
      <w:r>
        <w:rPr>
          <w:rFonts w:hint="eastAsia"/>
        </w:rPr>
        <w:t>8</w:t>
      </w:r>
      <w:r>
        <w:t>.</w:t>
      </w:r>
      <w:r>
        <w:rPr>
          <w:rFonts w:hint="eastAsia"/>
        </w:rPr>
        <w:t>3</w:t>
      </w:r>
      <w:r>
        <w:t xml:space="preserve"> 设备故障处置</w:t>
      </w:r>
      <w:bookmarkEnd w:id="522"/>
      <w:bookmarkEnd w:id="523"/>
      <w:bookmarkEnd w:id="524"/>
      <w:bookmarkEnd w:id="525"/>
      <w:bookmarkEnd w:id="526"/>
    </w:p>
    <w:p w14:paraId="6A8ABF86">
      <w:pPr>
        <w:pStyle w:val="32"/>
        <w:ind w:firstLine="0" w:firstLineChars="0"/>
        <w:rPr>
          <w:rFonts w:hint="eastAsia"/>
        </w:rPr>
      </w:pPr>
      <w:bookmarkStart w:id="527" w:name="_Toc228824614"/>
      <w:bookmarkStart w:id="528" w:name="_Toc228825777"/>
      <w:bookmarkStart w:id="529" w:name="_Toc228825910"/>
      <w:r>
        <w:t>8.</w:t>
      </w:r>
      <w:r>
        <w:rPr>
          <w:rFonts w:hint="eastAsia"/>
        </w:rPr>
        <w:t>3</w:t>
      </w:r>
      <w:r>
        <w:t>.1 动力电池故障</w:t>
      </w:r>
      <w:bookmarkEnd w:id="527"/>
      <w:bookmarkEnd w:id="528"/>
      <w:bookmarkEnd w:id="529"/>
    </w:p>
    <w:p w14:paraId="2F59B0B8">
      <w:pPr>
        <w:pStyle w:val="32"/>
        <w:ind w:firstLine="0" w:firstLineChars="0"/>
        <w:rPr>
          <w:rFonts w:hint="eastAsia"/>
        </w:rPr>
      </w:pPr>
      <w:r>
        <w:rPr>
          <w:rFonts w:hint="eastAsia"/>
        </w:rPr>
        <w:t>8</w:t>
      </w:r>
      <w:r>
        <w:t>.</w:t>
      </w:r>
      <w:r>
        <w:rPr>
          <w:rFonts w:hint="eastAsia"/>
        </w:rPr>
        <w:t>3</w:t>
      </w:r>
      <w:r>
        <w:t>.1.1 电池电压异常</w:t>
      </w:r>
    </w:p>
    <w:p w14:paraId="67E257BC">
      <w:pPr>
        <w:pStyle w:val="32"/>
        <w:ind w:firstLine="420"/>
        <w:rPr>
          <w:rFonts w:hint="eastAsia"/>
        </w:rPr>
      </w:pPr>
      <w:r>
        <w:t>飞行中，若地面站告警电池电压异常骤降</w:t>
      </w:r>
      <w:r>
        <w:rPr>
          <w:rFonts w:hint="eastAsia"/>
        </w:rPr>
        <w:t>或</w:t>
      </w:r>
      <w:r>
        <w:t>电芯压差过大，应立即放弃任务，以最短路径返航降落。</w:t>
      </w:r>
    </w:p>
    <w:p w14:paraId="2DF3A2BF">
      <w:pPr>
        <w:pStyle w:val="32"/>
        <w:ind w:firstLine="0" w:firstLineChars="0"/>
        <w:rPr>
          <w:rFonts w:hint="eastAsia"/>
        </w:rPr>
      </w:pPr>
      <w:r>
        <w:rPr>
          <w:rFonts w:hint="eastAsia"/>
        </w:rPr>
        <w:t>8</w:t>
      </w:r>
      <w:r>
        <w:t>.</w:t>
      </w:r>
      <w:r>
        <w:rPr>
          <w:rFonts w:hint="eastAsia"/>
        </w:rPr>
        <w:t>3</w:t>
      </w:r>
      <w:r>
        <w:t>.1.2</w:t>
      </w:r>
      <w:r>
        <w:rPr>
          <w:rFonts w:hint="eastAsia"/>
        </w:rPr>
        <w:t xml:space="preserve"> </w:t>
      </w:r>
      <w:r>
        <w:t>电池异常发热</w:t>
      </w:r>
    </w:p>
    <w:p w14:paraId="3010FCA5">
      <w:pPr>
        <w:pStyle w:val="32"/>
        <w:ind w:firstLine="420"/>
        <w:rPr>
          <w:rFonts w:hint="eastAsia"/>
        </w:rPr>
      </w:pPr>
      <w:r>
        <w:t>作业前后，若发现电池出现严重鼓包、漏液或异常发热现象，应立即停止使用或充电</w:t>
      </w:r>
      <w:r>
        <w:rPr>
          <w:rFonts w:hint="eastAsia"/>
        </w:rPr>
        <w:t>。</w:t>
      </w:r>
      <w:r>
        <w:t>处置人员应佩戴耐高温防护手套</w:t>
      </w:r>
      <w:r>
        <w:rPr>
          <w:rFonts w:hint="eastAsia"/>
        </w:rPr>
        <w:t>，</w:t>
      </w:r>
      <w:r>
        <w:t>将故障电池放置在专用的防爆箱内，或移至甲板下风向的开阔、无易燃物的区域，并由安全员进行隔离看管。严禁将故障电池丢弃入海。</w:t>
      </w:r>
      <w:r>
        <w:rPr>
          <w:rFonts w:hint="eastAsia"/>
        </w:rPr>
        <w:t>如电池起火，</w:t>
      </w:r>
      <w:r>
        <w:t>处置时应使用专用锂电池灭火装置</w:t>
      </w:r>
      <w:r>
        <w:rPr>
          <w:rFonts w:hint="eastAsia"/>
        </w:rPr>
        <w:t>或</w:t>
      </w:r>
      <w:r>
        <w:t>备用干粉灭火器覆盖处置，禁止用水冷却灭火。</w:t>
      </w:r>
    </w:p>
    <w:p w14:paraId="28C5143A">
      <w:pPr>
        <w:pStyle w:val="32"/>
        <w:ind w:firstLine="0" w:firstLineChars="0"/>
        <w:rPr>
          <w:rFonts w:hint="eastAsia"/>
        </w:rPr>
      </w:pPr>
      <w:bookmarkStart w:id="530" w:name="_Toc228825911"/>
      <w:bookmarkStart w:id="531" w:name="_Toc228824615"/>
      <w:bookmarkStart w:id="532" w:name="_Toc228825778"/>
      <w:r>
        <w:t>8.</w:t>
      </w:r>
      <w:r>
        <w:rPr>
          <w:rFonts w:hint="eastAsia"/>
        </w:rPr>
        <w:t>3</w:t>
      </w:r>
      <w:r>
        <w:t>.2 GNSS信号丢失或RTK降级</w:t>
      </w:r>
      <w:bookmarkEnd w:id="530"/>
      <w:bookmarkEnd w:id="531"/>
      <w:bookmarkEnd w:id="532"/>
    </w:p>
    <w:p w14:paraId="192B1A32">
      <w:pPr>
        <w:pStyle w:val="32"/>
        <w:ind w:firstLine="0" w:firstLineChars="0"/>
        <w:rPr>
          <w:rFonts w:hint="eastAsia"/>
        </w:rPr>
      </w:pPr>
      <w:r>
        <w:rPr>
          <w:rFonts w:hint="eastAsia"/>
        </w:rPr>
        <w:t>8</w:t>
      </w:r>
      <w:r>
        <w:t>.</w:t>
      </w:r>
      <w:r>
        <w:rPr>
          <w:rFonts w:hint="eastAsia"/>
        </w:rPr>
        <w:t>3</w:t>
      </w:r>
      <w:r>
        <w:t xml:space="preserve">.2.1 </w:t>
      </w:r>
      <w:r>
        <w:rPr>
          <w:rFonts w:hint="eastAsia"/>
        </w:rPr>
        <w:t>手动操控无人机</w:t>
      </w:r>
    </w:p>
    <w:p w14:paraId="2BA5BC07">
      <w:pPr>
        <w:pStyle w:val="32"/>
        <w:ind w:firstLine="420"/>
        <w:rPr>
          <w:rFonts w:hint="eastAsia"/>
        </w:rPr>
      </w:pPr>
      <w:r>
        <w:rPr>
          <w:rFonts w:hint="eastAsia"/>
        </w:rPr>
        <w:t>无人机</w:t>
      </w:r>
      <w:r>
        <w:t>飞行中若完全丢失GNSS信号，无人</w:t>
      </w:r>
      <w:r>
        <w:rPr>
          <w:rFonts w:hint="eastAsia"/>
        </w:rPr>
        <w:t>机</w:t>
      </w:r>
      <w:r>
        <w:t>将进入纯姿态模式。操控员应具备熟练的无定位手动飞行能力，依靠图传视频和目视，将无人</w:t>
      </w:r>
      <w:r>
        <w:rPr>
          <w:rFonts w:hint="eastAsia"/>
        </w:rPr>
        <w:t>机</w:t>
      </w:r>
      <w:r>
        <w:t>飞回船只附近，并在条件允许时尝试手动降落。</w:t>
      </w:r>
    </w:p>
    <w:p w14:paraId="3A3471CA">
      <w:pPr>
        <w:pStyle w:val="32"/>
        <w:ind w:firstLine="0" w:firstLineChars="0"/>
        <w:rPr>
          <w:rFonts w:hint="eastAsia"/>
        </w:rPr>
      </w:pPr>
      <w:r>
        <w:rPr>
          <w:rFonts w:hint="eastAsia"/>
        </w:rPr>
        <w:t>8</w:t>
      </w:r>
      <w:r>
        <w:t>.</w:t>
      </w:r>
      <w:r>
        <w:rPr>
          <w:rFonts w:hint="eastAsia"/>
        </w:rPr>
        <w:t>3</w:t>
      </w:r>
      <w:r>
        <w:t>.2.2 避免执行</w:t>
      </w:r>
      <w:r>
        <w:rPr>
          <w:rFonts w:hint="eastAsia"/>
        </w:rPr>
        <w:t>高</w:t>
      </w:r>
      <w:r>
        <w:t>精度</w:t>
      </w:r>
      <w:r>
        <w:rPr>
          <w:rFonts w:hint="eastAsia"/>
        </w:rPr>
        <w:t>飞行作业</w:t>
      </w:r>
    </w:p>
    <w:p w14:paraId="102B32E9">
      <w:pPr>
        <w:pStyle w:val="32"/>
        <w:ind w:firstLine="420"/>
        <w:rPr>
          <w:rFonts w:hint="eastAsia"/>
        </w:rPr>
      </w:pPr>
      <w:r>
        <w:t>若RTK信号降级，导致定位精度下降，应避免执行需要厘米级精度的作业，如近距离绕行检查、精准悬停等。降落时应预留更大的安全余量。</w:t>
      </w:r>
    </w:p>
    <w:p w14:paraId="644CCA5E">
      <w:pPr>
        <w:pStyle w:val="38"/>
      </w:pPr>
      <w:bookmarkStart w:id="533" w:name="_Toc228826601"/>
      <w:bookmarkStart w:id="534" w:name="_Toc228825779"/>
      <w:bookmarkStart w:id="535" w:name="_Toc228824616"/>
      <w:bookmarkStart w:id="536" w:name="_Toc228825912"/>
      <w:bookmarkStart w:id="537" w:name="_Toc228826475"/>
      <w:r>
        <w:rPr>
          <w:rFonts w:hint="eastAsia"/>
        </w:rPr>
        <w:t>8</w:t>
      </w:r>
      <w:r>
        <w:t>.</w:t>
      </w:r>
      <w:r>
        <w:rPr>
          <w:rFonts w:hint="eastAsia"/>
        </w:rPr>
        <w:t>4</w:t>
      </w:r>
      <w:r>
        <w:t xml:space="preserve"> 人员安全紧急处置</w:t>
      </w:r>
      <w:bookmarkEnd w:id="533"/>
      <w:bookmarkEnd w:id="534"/>
      <w:bookmarkEnd w:id="535"/>
      <w:bookmarkEnd w:id="536"/>
      <w:bookmarkEnd w:id="537"/>
    </w:p>
    <w:p w14:paraId="7DD1301D">
      <w:pPr>
        <w:pStyle w:val="32"/>
        <w:ind w:firstLine="0" w:firstLineChars="0"/>
        <w:rPr>
          <w:rFonts w:hint="eastAsia"/>
        </w:rPr>
      </w:pPr>
      <w:bookmarkStart w:id="538" w:name="_Toc228825780"/>
      <w:bookmarkStart w:id="539" w:name="_Toc228824617"/>
      <w:bookmarkStart w:id="540" w:name="_Toc228825913"/>
      <w:r>
        <w:t>8.</w:t>
      </w:r>
      <w:r>
        <w:rPr>
          <w:rFonts w:hint="eastAsia"/>
        </w:rPr>
        <w:t>4</w:t>
      </w:r>
      <w:r>
        <w:t xml:space="preserve">.1 </w:t>
      </w:r>
      <w:bookmarkStart w:id="541" w:name="OLE_LINK40"/>
      <w:r>
        <w:rPr>
          <w:rFonts w:hint="eastAsia"/>
        </w:rPr>
        <w:t>作业人员</w:t>
      </w:r>
      <w:bookmarkEnd w:id="541"/>
      <w:r>
        <w:rPr>
          <w:rFonts w:hint="eastAsia"/>
        </w:rPr>
        <w:t>受伤</w:t>
      </w:r>
      <w:bookmarkEnd w:id="538"/>
      <w:bookmarkEnd w:id="539"/>
      <w:bookmarkEnd w:id="540"/>
    </w:p>
    <w:p w14:paraId="70FC5B0D">
      <w:pPr>
        <w:pStyle w:val="32"/>
        <w:ind w:firstLine="420"/>
        <w:rPr>
          <w:rFonts w:hint="eastAsia"/>
        </w:rPr>
      </w:pPr>
      <w:r>
        <w:t>若作业人员在甲板上不慎滑倒、受伤或发生其他意外，其他人员应立即中止无人</w:t>
      </w:r>
      <w:r>
        <w:rPr>
          <w:rFonts w:hint="eastAsia"/>
        </w:rPr>
        <w:t>机</w:t>
      </w:r>
      <w:r>
        <w:t>作业（使无人</w:t>
      </w:r>
      <w:r>
        <w:rPr>
          <w:rFonts w:hint="eastAsia"/>
        </w:rPr>
        <w:t>机</w:t>
      </w:r>
      <w:r>
        <w:t>在安全高度悬停或盘旋），并优先进行人员救助。</w:t>
      </w:r>
    </w:p>
    <w:p w14:paraId="497F8A41">
      <w:pPr>
        <w:pStyle w:val="32"/>
        <w:ind w:firstLine="0" w:firstLineChars="0"/>
        <w:rPr>
          <w:rFonts w:hint="eastAsia"/>
        </w:rPr>
      </w:pPr>
      <w:bookmarkStart w:id="542" w:name="_Toc228825781"/>
      <w:bookmarkStart w:id="543" w:name="_Toc228824618"/>
      <w:bookmarkStart w:id="544" w:name="_Toc228825914"/>
      <w:r>
        <w:t>8.</w:t>
      </w:r>
      <w:r>
        <w:rPr>
          <w:rFonts w:hint="eastAsia"/>
        </w:rPr>
        <w:t>4</w:t>
      </w:r>
      <w:r>
        <w:t xml:space="preserve">.2 </w:t>
      </w:r>
      <w:r>
        <w:rPr>
          <w:rFonts w:hint="eastAsia"/>
        </w:rPr>
        <w:t>作业人员落水</w:t>
      </w:r>
      <w:bookmarkEnd w:id="542"/>
      <w:bookmarkEnd w:id="543"/>
      <w:bookmarkEnd w:id="544"/>
    </w:p>
    <w:p w14:paraId="7F496C02">
      <w:pPr>
        <w:pStyle w:val="32"/>
        <w:ind w:firstLine="420"/>
        <w:rPr>
          <w:rFonts w:hint="eastAsia"/>
        </w:rPr>
      </w:pPr>
      <w:r>
        <w:t>若有人员意外落水，应立即启动救援程序</w:t>
      </w:r>
      <w:r>
        <w:rPr>
          <w:rFonts w:hint="eastAsia"/>
        </w:rPr>
        <w:t>，</w:t>
      </w:r>
      <w:r>
        <w:t>执行船上人员落水应急预案，投掷救生设备，并向驾驶台报告。</w:t>
      </w:r>
    </w:p>
    <w:p w14:paraId="22F0D5BA">
      <w:pPr>
        <w:pStyle w:val="37"/>
        <w:spacing w:before="240" w:after="240"/>
        <w:rPr>
          <w:rFonts w:hint="eastAsia"/>
        </w:rPr>
      </w:pPr>
      <w:bookmarkStart w:id="545" w:name="_Toc228826602"/>
      <w:bookmarkStart w:id="546" w:name="_Toc228825915"/>
      <w:bookmarkStart w:id="547" w:name="_Toc228824619"/>
      <w:bookmarkStart w:id="548" w:name="_Toc228825782"/>
      <w:bookmarkStart w:id="549" w:name="_Toc228826476"/>
      <w:r>
        <w:rPr>
          <w:rFonts w:hint="eastAsia"/>
        </w:rPr>
        <w:t>9 作业</w:t>
      </w:r>
      <w:r>
        <w:t>记录与复盘</w:t>
      </w:r>
      <w:bookmarkEnd w:id="545"/>
      <w:bookmarkEnd w:id="546"/>
      <w:bookmarkEnd w:id="547"/>
      <w:bookmarkEnd w:id="548"/>
      <w:bookmarkEnd w:id="549"/>
    </w:p>
    <w:p w14:paraId="361E9A46">
      <w:pPr>
        <w:pStyle w:val="32"/>
        <w:ind w:firstLine="420"/>
        <w:rPr>
          <w:rFonts w:hint="eastAsia"/>
        </w:rPr>
      </w:pPr>
      <w:r>
        <w:t>建立完整的作业档案，记录内容应包括但不限于：飞行计划与审批文件、气象与海况记录、作业前检查单、飞行日志、任务数据、作业后检查与维护记录、任何异常情况或应急事件的详细报告。</w:t>
      </w:r>
    </w:p>
    <w:p w14:paraId="579949AC">
      <w:pPr>
        <w:pStyle w:val="38"/>
      </w:pPr>
      <w:bookmarkStart w:id="550" w:name="_Toc228825783"/>
      <w:bookmarkStart w:id="551" w:name="_Toc228826603"/>
      <w:bookmarkStart w:id="552" w:name="_Toc228824620"/>
      <w:bookmarkStart w:id="553" w:name="_Toc228826477"/>
      <w:bookmarkStart w:id="554" w:name="_Toc228825916"/>
      <w:r>
        <w:rPr>
          <w:rFonts w:hint="eastAsia"/>
        </w:rPr>
        <w:t>9</w:t>
      </w:r>
      <w:r>
        <w:t>.1 作业记录</w:t>
      </w:r>
      <w:bookmarkEnd w:id="550"/>
      <w:bookmarkEnd w:id="551"/>
      <w:bookmarkEnd w:id="552"/>
      <w:bookmarkEnd w:id="553"/>
      <w:bookmarkEnd w:id="554"/>
    </w:p>
    <w:p w14:paraId="125BF8DD">
      <w:pPr>
        <w:pStyle w:val="32"/>
        <w:ind w:firstLine="0" w:firstLineChars="0"/>
        <w:rPr>
          <w:rFonts w:hint="eastAsia"/>
        </w:rPr>
      </w:pPr>
      <w:bookmarkStart w:id="555" w:name="_Toc228824621"/>
      <w:bookmarkStart w:id="556" w:name="_Toc228825917"/>
      <w:bookmarkStart w:id="557" w:name="_Toc228825784"/>
      <w:r>
        <w:t xml:space="preserve">9.1.1 </w:t>
      </w:r>
      <w:r>
        <w:rPr>
          <w:rFonts w:hint="eastAsia"/>
        </w:rPr>
        <w:t>填写</w:t>
      </w:r>
      <w:r>
        <w:t>《无人</w:t>
      </w:r>
      <w:r>
        <w:rPr>
          <w:rFonts w:hint="eastAsia"/>
        </w:rPr>
        <w:t>机</w:t>
      </w:r>
      <w:r>
        <w:t>船上作业飞行记录表》</w:t>
      </w:r>
      <w:bookmarkEnd w:id="555"/>
      <w:bookmarkEnd w:id="556"/>
      <w:bookmarkEnd w:id="557"/>
    </w:p>
    <w:p w14:paraId="1CDBB5EE">
      <w:pPr>
        <w:pStyle w:val="32"/>
        <w:ind w:firstLine="420"/>
        <w:rPr>
          <w:rFonts w:hint="eastAsia"/>
        </w:rPr>
      </w:pPr>
      <w:r>
        <w:t>每次飞行任务结束后，操控员应填写《无人</w:t>
      </w:r>
      <w:r>
        <w:rPr>
          <w:rFonts w:hint="eastAsia"/>
        </w:rPr>
        <w:t>机</w:t>
      </w:r>
      <w:r>
        <w:t>船上作业飞行记录表》。记录表应至少包含以下信息：作业日期、船名、海区、起降点经纬度、起飞与降落时间、总飞行时长、作业任务内容、飞行期间平均及最大风速/浪高、主要飞行参数（平均高度、速度）、电池使用情况、设备工作状态、以及任何异常情况或应急处置的详细描述。</w:t>
      </w:r>
    </w:p>
    <w:p w14:paraId="78D4E8B2">
      <w:pPr>
        <w:pStyle w:val="32"/>
        <w:ind w:firstLine="0" w:firstLineChars="0"/>
        <w:rPr>
          <w:rFonts w:hint="eastAsia"/>
        </w:rPr>
      </w:pPr>
      <w:bookmarkStart w:id="558" w:name="_Toc228824622"/>
      <w:bookmarkStart w:id="559" w:name="_Toc228825785"/>
      <w:bookmarkStart w:id="560" w:name="_Toc228825918"/>
      <w:r>
        <w:t>9.1.</w:t>
      </w:r>
      <w:r>
        <w:rPr>
          <w:rFonts w:hint="eastAsia"/>
        </w:rPr>
        <w:t>2 填写《</w:t>
      </w:r>
      <w:r>
        <w:t>无人机设备故障/安全事件报告单</w:t>
      </w:r>
      <w:r>
        <w:rPr>
          <w:rFonts w:hint="eastAsia"/>
        </w:rPr>
        <w:t>》</w:t>
      </w:r>
      <w:bookmarkEnd w:id="558"/>
      <w:bookmarkEnd w:id="559"/>
      <w:bookmarkEnd w:id="560"/>
    </w:p>
    <w:p w14:paraId="33DF34AB">
      <w:pPr>
        <w:pStyle w:val="32"/>
        <w:ind w:firstLine="420"/>
        <w:rPr>
          <w:rFonts w:hint="eastAsia"/>
        </w:rPr>
      </w:pPr>
      <w:r>
        <w:t>若作业期间发生任何设备故障或安全事件，应额外填写《无人</w:t>
      </w:r>
      <w:r>
        <w:rPr>
          <w:rFonts w:hint="eastAsia"/>
        </w:rPr>
        <w:t>机</w:t>
      </w:r>
      <w:r>
        <w:t>设备故障/安全事件报告单》，并将其与飞行记录表一并归档。</w:t>
      </w:r>
    </w:p>
    <w:p w14:paraId="14F4495C">
      <w:pPr>
        <w:pStyle w:val="32"/>
        <w:ind w:firstLine="0" w:firstLineChars="0"/>
      </w:pPr>
      <w:bookmarkStart w:id="561" w:name="_Toc228826604"/>
      <w:bookmarkStart w:id="562" w:name="_Toc228825919"/>
      <w:bookmarkStart w:id="563" w:name="_Toc228826478"/>
      <w:bookmarkStart w:id="564" w:name="_Toc228825786"/>
      <w:bookmarkStart w:id="565" w:name="_Toc228824623"/>
      <w:r>
        <w:rPr>
          <w:rFonts w:hint="eastAsia"/>
        </w:rPr>
        <w:t>9</w:t>
      </w:r>
      <w:r>
        <w:t>.2 作业复盘</w:t>
      </w:r>
      <w:bookmarkEnd w:id="561"/>
      <w:bookmarkEnd w:id="562"/>
      <w:bookmarkEnd w:id="563"/>
      <w:bookmarkEnd w:id="564"/>
      <w:bookmarkEnd w:id="565"/>
    </w:p>
    <w:p w14:paraId="38A163CD">
      <w:pPr>
        <w:pStyle w:val="32"/>
        <w:ind w:firstLine="420"/>
        <w:rPr>
          <w:rFonts w:hint="eastAsia"/>
        </w:rPr>
      </w:pPr>
      <w:r>
        <w:rPr>
          <w:rFonts w:hint="eastAsia"/>
        </w:rPr>
        <w:t>对出现故障的飞行</w:t>
      </w:r>
      <w:r>
        <w:t>作业任务</w:t>
      </w:r>
      <w:r>
        <w:rPr>
          <w:rFonts w:hint="eastAsia"/>
        </w:rPr>
        <w:t>完成</w:t>
      </w:r>
      <w:r>
        <w:t>后，在24小时内</w:t>
      </w:r>
      <w:r>
        <w:rPr>
          <w:rFonts w:hint="eastAsia"/>
        </w:rPr>
        <w:t>开展</w:t>
      </w:r>
      <w:r>
        <w:t>一次作业复盘会。参与人员应包括全体作业人员并可邀请船方代表参加。复盘的目标是系统性地总结经验、分析问题、识别风险，并提出持续改进的措施。</w:t>
      </w:r>
    </w:p>
    <w:p w14:paraId="227E8E42">
      <w:pPr>
        <w:pStyle w:val="32"/>
        <w:ind w:firstLine="0" w:firstLineChars="0"/>
        <w:rPr>
          <w:rFonts w:hint="eastAsia"/>
        </w:rPr>
      </w:pPr>
      <w:bookmarkStart w:id="566" w:name="_Toc228824624"/>
      <w:bookmarkStart w:id="567" w:name="_Toc228825920"/>
      <w:bookmarkStart w:id="568" w:name="_Toc228825787"/>
      <w:r>
        <w:t>9.2.1 数据收集与分析</w:t>
      </w:r>
      <w:bookmarkEnd w:id="566"/>
      <w:bookmarkEnd w:id="567"/>
      <w:bookmarkEnd w:id="568"/>
    </w:p>
    <w:p w14:paraId="6C02C635">
      <w:pPr>
        <w:pStyle w:val="32"/>
        <w:ind w:firstLine="0" w:firstLineChars="0"/>
        <w:rPr>
          <w:rFonts w:hint="eastAsia"/>
        </w:rPr>
      </w:pPr>
      <w:r>
        <w:rPr>
          <w:rFonts w:hint="eastAsia"/>
        </w:rPr>
        <w:t>9</w:t>
      </w:r>
      <w:r>
        <w:t>.2.</w:t>
      </w:r>
      <w:r>
        <w:rPr>
          <w:rFonts w:hint="eastAsia"/>
        </w:rPr>
        <w:t>1</w:t>
      </w:r>
      <w:r>
        <w:t>.1 设备数据</w:t>
      </w:r>
      <w:r>
        <w:rPr>
          <w:rFonts w:hint="eastAsia"/>
        </w:rPr>
        <w:t>分析</w:t>
      </w:r>
    </w:p>
    <w:p w14:paraId="6C244B32">
      <w:pPr>
        <w:pStyle w:val="32"/>
        <w:ind w:firstLine="420"/>
        <w:rPr>
          <w:rFonts w:hint="eastAsia"/>
        </w:rPr>
      </w:pPr>
      <w:r>
        <w:t>综合分析无人</w:t>
      </w:r>
      <w:r>
        <w:rPr>
          <w:rFonts w:hint="eastAsia"/>
        </w:rPr>
        <w:t>机</w:t>
      </w:r>
      <w:r>
        <w:t>飞行日志（黑匣子数据），重点关注振动水平、传感器数据曲线、姿态控制误差、电池放电曲线等，评估设备在海洋环境下的性能表现。</w:t>
      </w:r>
    </w:p>
    <w:p w14:paraId="4BBDFB27">
      <w:pPr>
        <w:pStyle w:val="32"/>
        <w:ind w:firstLine="0" w:firstLineChars="0"/>
        <w:rPr>
          <w:rFonts w:hint="eastAsia"/>
        </w:rPr>
      </w:pPr>
      <w:r>
        <w:rPr>
          <w:rFonts w:hint="eastAsia"/>
        </w:rPr>
        <w:t>9</w:t>
      </w:r>
      <w:r>
        <w:t>.2.</w:t>
      </w:r>
      <w:r>
        <w:rPr>
          <w:rFonts w:hint="eastAsia"/>
        </w:rPr>
        <w:t>1</w:t>
      </w:r>
      <w:r>
        <w:t>.2 环境数据</w:t>
      </w:r>
      <w:r>
        <w:rPr>
          <w:rFonts w:hint="eastAsia"/>
        </w:rPr>
        <w:t>分析</w:t>
      </w:r>
    </w:p>
    <w:p w14:paraId="4765B978">
      <w:pPr>
        <w:pStyle w:val="32"/>
        <w:ind w:firstLine="420"/>
        <w:rPr>
          <w:rFonts w:hint="eastAsia"/>
        </w:rPr>
      </w:pPr>
      <w:r>
        <w:t>比对船舶的航行日志、气象水文记录与无人</w:t>
      </w:r>
      <w:r>
        <w:rPr>
          <w:rFonts w:hint="eastAsia"/>
        </w:rPr>
        <w:t>机</w:t>
      </w:r>
      <w:r>
        <w:t>作业记录，分析不同海况（风、浪、流）对无人</w:t>
      </w:r>
      <w:r>
        <w:rPr>
          <w:rFonts w:hint="eastAsia"/>
        </w:rPr>
        <w:t>机</w:t>
      </w:r>
      <w:r>
        <w:t>起降成功率和飞行稳定性的具体影响。</w:t>
      </w:r>
    </w:p>
    <w:p w14:paraId="4F1A4CB4">
      <w:pPr>
        <w:pStyle w:val="32"/>
        <w:ind w:firstLine="0" w:firstLineChars="0"/>
        <w:rPr>
          <w:rFonts w:hint="eastAsia"/>
        </w:rPr>
      </w:pPr>
      <w:r>
        <w:rPr>
          <w:rFonts w:hint="eastAsia"/>
        </w:rPr>
        <w:t>9</w:t>
      </w:r>
      <w:r>
        <w:t>.2.</w:t>
      </w:r>
      <w:r>
        <w:rPr>
          <w:rFonts w:hint="eastAsia"/>
        </w:rPr>
        <w:t>1</w:t>
      </w:r>
      <w:r>
        <w:t>.3 操作数据</w:t>
      </w:r>
      <w:r>
        <w:rPr>
          <w:rFonts w:hint="eastAsia"/>
        </w:rPr>
        <w:t>分析</w:t>
      </w:r>
    </w:p>
    <w:p w14:paraId="2489179F">
      <w:pPr>
        <w:pStyle w:val="32"/>
        <w:ind w:firstLine="420"/>
        <w:rPr>
          <w:rFonts w:hint="eastAsia"/>
        </w:rPr>
      </w:pPr>
      <w:r>
        <w:t>回放地面站操作记录和图传视频，评估操控员在关键节点（如起降、模式切换、应急处置）的操作决策是否及时、准确、规范。</w:t>
      </w:r>
    </w:p>
    <w:p w14:paraId="3A5BFF3C">
      <w:pPr>
        <w:pStyle w:val="32"/>
        <w:ind w:firstLine="0" w:firstLineChars="0"/>
        <w:rPr>
          <w:rFonts w:hint="eastAsia"/>
        </w:rPr>
      </w:pPr>
      <w:bookmarkStart w:id="569" w:name="_Toc228825921"/>
      <w:bookmarkStart w:id="570" w:name="_Toc228824625"/>
      <w:bookmarkStart w:id="571" w:name="_Toc228825788"/>
      <w:r>
        <w:t>9.2.2 原因排查与评估</w:t>
      </w:r>
      <w:bookmarkEnd w:id="569"/>
      <w:bookmarkEnd w:id="570"/>
      <w:bookmarkEnd w:id="571"/>
    </w:p>
    <w:p w14:paraId="0F725AC7">
      <w:pPr>
        <w:pStyle w:val="32"/>
        <w:ind w:firstLine="0" w:firstLineChars="0"/>
        <w:rPr>
          <w:rFonts w:hint="eastAsia"/>
        </w:rPr>
      </w:pPr>
      <w:r>
        <w:rPr>
          <w:rFonts w:hint="eastAsia"/>
        </w:rPr>
        <w:t>9</w:t>
      </w:r>
      <w:r>
        <w:t>.2.</w:t>
      </w:r>
      <w:r>
        <w:rPr>
          <w:rFonts w:hint="eastAsia"/>
        </w:rPr>
        <w:t>2</w:t>
      </w:r>
      <w:r>
        <w:t>.1 技术维度</w:t>
      </w:r>
      <w:r>
        <w:rPr>
          <w:rFonts w:hint="eastAsia"/>
        </w:rPr>
        <w:t>评估</w:t>
      </w:r>
    </w:p>
    <w:p w14:paraId="765B7DC8">
      <w:pPr>
        <w:pStyle w:val="32"/>
        <w:ind w:firstLine="420"/>
        <w:rPr>
          <w:rFonts w:hint="eastAsia"/>
        </w:rPr>
      </w:pPr>
      <w:r>
        <w:t>评估设备的环境适应性（如抗盐雾腐蚀能力、抗电磁干扰性能）是否存在不足；评估动态起降点更新逻辑是否最优，能否应对船舶突发的机动。</w:t>
      </w:r>
    </w:p>
    <w:p w14:paraId="7BAC7CB6">
      <w:pPr>
        <w:pStyle w:val="32"/>
        <w:ind w:firstLine="0" w:firstLineChars="0"/>
        <w:rPr>
          <w:rFonts w:hint="eastAsia"/>
        </w:rPr>
      </w:pPr>
      <w:r>
        <w:rPr>
          <w:rFonts w:hint="eastAsia"/>
        </w:rPr>
        <w:t>9</w:t>
      </w:r>
      <w:r>
        <w:t>.2.</w:t>
      </w:r>
      <w:r>
        <w:rPr>
          <w:rFonts w:hint="eastAsia"/>
        </w:rPr>
        <w:t>2</w:t>
      </w:r>
      <w:r>
        <w:t>.2 操作维度</w:t>
      </w:r>
      <w:r>
        <w:rPr>
          <w:rFonts w:hint="eastAsia"/>
        </w:rPr>
        <w:t>评估</w:t>
      </w:r>
    </w:p>
    <w:p w14:paraId="2EF54B75">
      <w:pPr>
        <w:pStyle w:val="32"/>
        <w:ind w:firstLine="420"/>
        <w:rPr>
          <w:rFonts w:hint="eastAsia"/>
        </w:rPr>
      </w:pPr>
      <w:r>
        <w:t>分析是否存在因人员疲劳、沟通不畅或技能生疏导致的操作失误或配合脱节；评估现有操作流程是否清晰、高效。</w:t>
      </w:r>
    </w:p>
    <w:p w14:paraId="3564B9AF">
      <w:pPr>
        <w:pStyle w:val="32"/>
        <w:ind w:firstLine="0" w:firstLineChars="0"/>
        <w:rPr>
          <w:rFonts w:hint="eastAsia"/>
        </w:rPr>
      </w:pPr>
      <w:r>
        <w:rPr>
          <w:rFonts w:hint="eastAsia"/>
        </w:rPr>
        <w:t>9</w:t>
      </w:r>
      <w:r>
        <w:t>.2.</w:t>
      </w:r>
      <w:r>
        <w:rPr>
          <w:rFonts w:hint="eastAsia"/>
        </w:rPr>
        <w:t>2</w:t>
      </w:r>
      <w:r>
        <w:t>.3 环境维度</w:t>
      </w:r>
      <w:r>
        <w:rPr>
          <w:rFonts w:hint="eastAsia"/>
        </w:rPr>
        <w:t>评估</w:t>
      </w:r>
    </w:p>
    <w:p w14:paraId="135C8D44">
      <w:pPr>
        <w:pStyle w:val="32"/>
        <w:ind w:firstLine="420"/>
        <w:rPr>
          <w:rFonts w:hint="eastAsia"/>
        </w:rPr>
      </w:pPr>
      <w:r>
        <w:t>评估对作业环境的预判是否准确，现有的作业气象海况阈值是否科学合理，甲板起降区的设置是否存在安全隐患。</w:t>
      </w:r>
    </w:p>
    <w:p w14:paraId="2CAB75A4">
      <w:pPr>
        <w:pStyle w:val="32"/>
        <w:ind w:firstLine="0" w:firstLineChars="0"/>
        <w:rPr>
          <w:rFonts w:hint="eastAsia"/>
        </w:rPr>
      </w:pPr>
      <w:r>
        <w:rPr>
          <w:rFonts w:hint="eastAsia"/>
        </w:rPr>
        <w:t>9</w:t>
      </w:r>
      <w:r>
        <w:t>.2.</w:t>
      </w:r>
      <w:r>
        <w:rPr>
          <w:rFonts w:hint="eastAsia"/>
        </w:rPr>
        <w:t>2</w:t>
      </w:r>
      <w:r>
        <w:t>.4 管理维度</w:t>
      </w:r>
      <w:r>
        <w:rPr>
          <w:rFonts w:hint="eastAsia"/>
        </w:rPr>
        <w:t>评估</w:t>
      </w:r>
    </w:p>
    <w:p w14:paraId="60A4214C">
      <w:pPr>
        <w:pStyle w:val="32"/>
        <w:ind w:firstLine="420"/>
        <w:rPr>
          <w:rFonts w:hint="eastAsia"/>
        </w:rPr>
      </w:pPr>
      <w:r>
        <w:t>检查作业前准备、人员资质管理、应急预案演练等环节是否存在疏漏。</w:t>
      </w:r>
    </w:p>
    <w:p w14:paraId="139E5846">
      <w:pPr>
        <w:pStyle w:val="32"/>
        <w:ind w:firstLine="0" w:firstLineChars="0"/>
        <w:rPr>
          <w:rFonts w:hint="eastAsia"/>
        </w:rPr>
      </w:pPr>
      <w:bookmarkStart w:id="572" w:name="_Toc228825922"/>
      <w:bookmarkStart w:id="573" w:name="_Toc228825789"/>
      <w:bookmarkStart w:id="574" w:name="_Toc228824626"/>
      <w:r>
        <w:t>9.2.3 改进措施与知识库建设</w:t>
      </w:r>
      <w:bookmarkEnd w:id="572"/>
      <w:bookmarkEnd w:id="573"/>
      <w:bookmarkEnd w:id="574"/>
    </w:p>
    <w:p w14:paraId="075BE88D">
      <w:pPr>
        <w:pStyle w:val="32"/>
        <w:ind w:firstLine="420"/>
        <w:rPr>
          <w:rFonts w:hint="eastAsia"/>
        </w:rPr>
      </w:pPr>
      <w:r>
        <w:t>针对复盘中发现的问题，制定具体的整改措施，明确责任人和完成时限。对于成功的经验和有效的操作技巧，应进行总结提炼，更新到《</w:t>
      </w:r>
      <w:r>
        <w:rPr>
          <w:rFonts w:hint="eastAsia"/>
        </w:rPr>
        <w:t>无人机</w:t>
      </w:r>
      <w:r>
        <w:t>船上作业指导手册》中。对于典型的故障或事件案例，应编制成案例分析报告，纳入团队培训资料库，用于新成员培训和定期安全教育。</w:t>
      </w:r>
    </w:p>
    <w:p w14:paraId="6BF52071">
      <w:pPr>
        <w:pStyle w:val="32"/>
        <w:ind w:firstLine="0" w:firstLineChars="0"/>
        <w:rPr>
          <w:rFonts w:hint="eastAsia"/>
        </w:rPr>
      </w:pPr>
      <w:bookmarkStart w:id="575" w:name="_Toc228825790"/>
      <w:bookmarkStart w:id="576" w:name="_Toc228825923"/>
      <w:bookmarkStart w:id="577" w:name="_Toc228824627"/>
      <w:r>
        <w:t>9.2.4 资料归档</w:t>
      </w:r>
      <w:bookmarkEnd w:id="575"/>
      <w:bookmarkEnd w:id="576"/>
      <w:bookmarkEnd w:id="577"/>
    </w:p>
    <w:p w14:paraId="01C5EAF4">
      <w:pPr>
        <w:pStyle w:val="32"/>
        <w:ind w:firstLine="420"/>
        <w:rPr>
          <w:rFonts w:hint="eastAsia"/>
        </w:rPr>
      </w:pPr>
      <w:r>
        <w:t>完整的复盘报告（包含数据分析、原因排查、整改措施等内容）应与相关的作业记录、设备检修报告一同归档，形成闭环的安全管理档案，以备查询，并为后续同类作业的安全风险评估和方案设计提供数据支持。</w:t>
      </w:r>
    </w:p>
    <w:p w14:paraId="21DF0C9F">
      <w:pPr>
        <w:pStyle w:val="32"/>
        <w:ind w:firstLine="0" w:firstLineChars="0"/>
        <w:rPr>
          <w:rFonts w:hint="eastAsia"/>
        </w:rPr>
      </w:pPr>
    </w:p>
    <w:p w14:paraId="5FAA00E6">
      <w:pPr>
        <w:pStyle w:val="52"/>
        <w:spacing w:after="120"/>
        <w:rPr>
          <w:rFonts w:hint="eastAsia"/>
          <w:spacing w:val="105"/>
        </w:rPr>
      </w:pPr>
      <w:bookmarkStart w:id="578" w:name="_Toc228825924"/>
      <w:bookmarkStart w:id="579" w:name="_Toc228826479"/>
      <w:bookmarkStart w:id="580" w:name="_Toc228826605"/>
      <w:bookmarkStart w:id="581" w:name="_Toc228825791"/>
      <w:bookmarkStart w:id="582" w:name="_Toc228824628"/>
      <w:r>
        <w:rPr>
          <w:spacing w:val="105"/>
        </w:rPr>
        <w:t>参考</w:t>
      </w:r>
      <w:r>
        <w:rPr>
          <w:rFonts w:hint="eastAsia"/>
          <w:spacing w:val="105"/>
        </w:rPr>
        <w:t>文献</w:t>
      </w:r>
      <w:bookmarkEnd w:id="578"/>
      <w:bookmarkEnd w:id="579"/>
      <w:bookmarkEnd w:id="580"/>
      <w:bookmarkEnd w:id="581"/>
      <w:bookmarkEnd w:id="582"/>
    </w:p>
    <w:p w14:paraId="3242E2E4">
      <w:pPr>
        <w:pStyle w:val="32"/>
        <w:ind w:firstLine="0" w:firstLineChars="0"/>
        <w:rPr>
          <w:rFonts w:hint="eastAsia"/>
        </w:rPr>
      </w:pPr>
      <w:bookmarkStart w:id="583" w:name="OLE_LINK10"/>
      <w:r>
        <w:t>[</w:t>
      </w:r>
      <w:r>
        <w:rPr>
          <w:rFonts w:hint="eastAsia"/>
        </w:rPr>
        <w:t>1</w:t>
      </w:r>
      <w:r>
        <w:t>]</w:t>
      </w:r>
      <w:r>
        <w:rPr>
          <w:rFonts w:hint="eastAsia"/>
        </w:rPr>
        <w:t xml:space="preserve"> </w:t>
      </w:r>
      <w:r>
        <w:t>《中华人民共和国安全</w:t>
      </w:r>
      <w:r>
        <w:rPr>
          <w:rFonts w:hint="eastAsia"/>
        </w:rPr>
        <w:t>生产</w:t>
      </w:r>
      <w:r>
        <w:t>法》</w:t>
      </w:r>
      <w:r>
        <w:rPr>
          <w:rFonts w:hint="eastAsia"/>
        </w:rPr>
        <w:t>（</w:t>
      </w:r>
      <w:r>
        <w:t>2021年第三次修正</w:t>
      </w:r>
      <w:r>
        <w:rPr>
          <w:rFonts w:hint="eastAsia"/>
        </w:rPr>
        <w:t>）</w:t>
      </w:r>
    </w:p>
    <w:p w14:paraId="0AE0E62F">
      <w:pPr>
        <w:pStyle w:val="32"/>
        <w:ind w:firstLine="0" w:firstLineChars="0"/>
        <w:rPr>
          <w:rFonts w:hint="eastAsia"/>
        </w:rPr>
      </w:pPr>
      <w:r>
        <w:t>[</w:t>
      </w:r>
      <w:r>
        <w:rPr>
          <w:rFonts w:hint="eastAsia"/>
        </w:rPr>
        <w:t>2</w:t>
      </w:r>
      <w:r>
        <w:t>] 《中华人民共和国民用航空法》（2025年第</w:t>
      </w:r>
      <w:r>
        <w:rPr>
          <w:rFonts w:hint="eastAsia"/>
        </w:rPr>
        <w:t>七</w:t>
      </w:r>
      <w:r>
        <w:t>次修</w:t>
      </w:r>
      <w:r>
        <w:rPr>
          <w:rFonts w:hint="eastAsia"/>
        </w:rPr>
        <w:t>订</w:t>
      </w:r>
      <w:r>
        <w:t>）</w:t>
      </w:r>
    </w:p>
    <w:p w14:paraId="79E94699">
      <w:pPr>
        <w:pStyle w:val="32"/>
        <w:ind w:firstLine="0" w:firstLineChars="0"/>
        <w:rPr>
          <w:rFonts w:hint="eastAsia"/>
        </w:rPr>
      </w:pPr>
      <w:r>
        <w:t>[</w:t>
      </w:r>
      <w:r>
        <w:rPr>
          <w:rFonts w:hint="eastAsia"/>
        </w:rPr>
        <w:t>3</w:t>
      </w:r>
      <w:r>
        <w:t>]</w:t>
      </w:r>
      <w:r>
        <w:rPr>
          <w:rFonts w:hint="eastAsia"/>
        </w:rPr>
        <w:t xml:space="preserve"> </w:t>
      </w:r>
      <w:r>
        <w:t>《中华人民共和国海上交通安全法》（2021年修订）</w:t>
      </w:r>
    </w:p>
    <w:p w14:paraId="5E047987">
      <w:pPr>
        <w:pStyle w:val="32"/>
        <w:ind w:firstLine="0" w:firstLineChars="0"/>
        <w:rPr>
          <w:rFonts w:hint="eastAsia"/>
        </w:rPr>
      </w:pPr>
      <w:r>
        <w:t>[</w:t>
      </w:r>
      <w:r>
        <w:rPr>
          <w:rFonts w:hint="eastAsia"/>
        </w:rPr>
        <w:t>4</w:t>
      </w:r>
      <w:r>
        <w:t>]</w:t>
      </w:r>
      <w:r>
        <w:rPr>
          <w:rFonts w:hint="eastAsia"/>
        </w:rPr>
        <w:t xml:space="preserve"> </w:t>
      </w:r>
      <w:r>
        <w:t>中华人民共和国国务院、中央军事委员会令2024年第761号《无人驾驶航空器飞行管理暂行条例》</w:t>
      </w:r>
    </w:p>
    <w:p w14:paraId="0111AFA6">
      <w:pPr>
        <w:pStyle w:val="32"/>
        <w:ind w:firstLine="0" w:firstLineChars="0"/>
        <w:rPr>
          <w:rFonts w:hint="eastAsia"/>
        </w:rPr>
      </w:pPr>
      <w:r>
        <w:t>[</w:t>
      </w:r>
      <w:r>
        <w:rPr>
          <w:rFonts w:hint="eastAsia"/>
        </w:rPr>
        <w:t>5</w:t>
      </w:r>
      <w:r>
        <w:t>]</w:t>
      </w:r>
      <w:r>
        <w:rPr>
          <w:rFonts w:hint="eastAsia"/>
        </w:rPr>
        <w:t xml:space="preserve"> </w:t>
      </w:r>
      <w:r>
        <w:t>中国民用航空总局令</w:t>
      </w:r>
      <w:r>
        <w:rPr>
          <w:rFonts w:hint="eastAsia"/>
        </w:rPr>
        <w:t>2004年</w:t>
      </w:r>
      <w:r>
        <w:t>第122号《民用航空使用空域办法》</w:t>
      </w:r>
    </w:p>
    <w:p w14:paraId="24CD046F">
      <w:pPr>
        <w:pStyle w:val="32"/>
        <w:ind w:firstLine="0" w:firstLineChars="0"/>
        <w:rPr>
          <w:rFonts w:hint="eastAsia"/>
        </w:rPr>
      </w:pPr>
      <w:r>
        <w:t>[</w:t>
      </w:r>
      <w:r>
        <w:rPr>
          <w:rFonts w:hint="eastAsia"/>
        </w:rPr>
        <w:t>6</w:t>
      </w:r>
      <w:r>
        <w:t>]</w:t>
      </w:r>
      <w:r>
        <w:rPr>
          <w:rFonts w:hint="eastAsia"/>
        </w:rPr>
        <w:t xml:space="preserve"> </w:t>
      </w:r>
      <w:r>
        <w:t>中国民用航空局空管行业管理办公室</w:t>
      </w:r>
      <w:r>
        <w:rPr>
          <w:rFonts w:hint="eastAsia"/>
        </w:rPr>
        <w:t>《</w:t>
      </w:r>
      <w:r>
        <w:t>民用无人驾驶航空器系统空中交通管理办法</w:t>
      </w:r>
      <w:r>
        <w:rPr>
          <w:rFonts w:hint="eastAsia"/>
        </w:rPr>
        <w:t>》</w:t>
      </w:r>
      <w:r>
        <w:t>(MD-TM-2016-004)</w:t>
      </w:r>
    </w:p>
    <w:p w14:paraId="15ECEC45">
      <w:pPr>
        <w:pStyle w:val="32"/>
        <w:ind w:firstLine="0" w:firstLineChars="0"/>
        <w:rPr>
          <w:rFonts w:hint="eastAsia"/>
        </w:rPr>
      </w:pPr>
      <w:r>
        <w:t>[</w:t>
      </w:r>
      <w:r>
        <w:rPr>
          <w:rFonts w:hint="eastAsia"/>
        </w:rPr>
        <w:t>7</w:t>
      </w:r>
      <w:r>
        <w:t>]</w:t>
      </w:r>
      <w:r>
        <w:rPr>
          <w:rFonts w:hint="eastAsia"/>
        </w:rPr>
        <w:t xml:space="preserve"> </w:t>
      </w:r>
      <w:r>
        <w:t>中国用航空局航空器适航审定司《民用无人驾驶航空器实名制登记管理规定》</w:t>
      </w:r>
      <w:r>
        <w:rPr>
          <w:rFonts w:hint="eastAsia"/>
        </w:rPr>
        <w:t>（AP-45-AA-2017-03）</w:t>
      </w:r>
    </w:p>
    <w:p w14:paraId="62477072">
      <w:pPr>
        <w:pStyle w:val="32"/>
        <w:ind w:firstLine="0" w:firstLineChars="0"/>
        <w:rPr>
          <w:rFonts w:hint="eastAsia"/>
        </w:rPr>
      </w:pPr>
      <w:r>
        <w:t>[</w:t>
      </w:r>
      <w:r>
        <w:rPr>
          <w:rFonts w:hint="eastAsia"/>
        </w:rPr>
        <w:t>8</w:t>
      </w:r>
      <w:r>
        <w:t>]</w:t>
      </w:r>
      <w:r>
        <w:rPr>
          <w:rFonts w:hint="eastAsia"/>
        </w:rPr>
        <w:t xml:space="preserve"> </w:t>
      </w:r>
      <w:r>
        <w:t>中国民用航空局飞行标准司《民用无人驾驶航空器操控员管理规定》（AC-61-FS-020R3）</w:t>
      </w:r>
    </w:p>
    <w:p w14:paraId="57307256">
      <w:pPr>
        <w:pStyle w:val="32"/>
        <w:ind w:firstLine="0" w:firstLineChars="0"/>
        <w:rPr>
          <w:rFonts w:hint="eastAsia"/>
        </w:rPr>
      </w:pPr>
      <w:r>
        <w:t>[</w:t>
      </w:r>
      <w:r>
        <w:rPr>
          <w:rFonts w:hint="eastAsia"/>
        </w:rPr>
        <w:t>9</w:t>
      </w:r>
      <w:r>
        <w:t>]</w:t>
      </w:r>
      <w:r>
        <w:rPr>
          <w:rFonts w:hint="eastAsia"/>
        </w:rPr>
        <w:t xml:space="preserve"> </w:t>
      </w:r>
      <w:r>
        <w:t>交通运输部令2024年第1号《民用无人驾驶航空器运行安全管理规则》（CCAR-92）</w:t>
      </w:r>
    </w:p>
    <w:bookmarkEnd w:id="583"/>
    <w:p w14:paraId="6CB60BAC">
      <w:pPr>
        <w:pStyle w:val="32"/>
        <w:ind w:firstLine="0" w:firstLineChars="0"/>
        <w:rPr>
          <w:rFonts w:hint="eastAsia"/>
        </w:rPr>
      </w:pPr>
      <w:r>
        <w:rPr>
          <w:rFonts w:hint="eastAsia"/>
        </w:rPr>
        <w:t xml:space="preserve">[10] </w:t>
      </w:r>
      <w:r>
        <w:t>CH/Z 3001</w:t>
      </w:r>
      <w:r>
        <w:rPr>
          <w:rFonts w:hint="eastAsia"/>
        </w:rPr>
        <w:t>-2010</w:t>
      </w:r>
      <w:r>
        <w:t xml:space="preserve"> </w:t>
      </w:r>
      <w:r>
        <w:rPr>
          <w:rFonts w:hint="eastAsia"/>
        </w:rPr>
        <w:t xml:space="preserve">   </w:t>
      </w:r>
      <w:r>
        <w:t>无人</w:t>
      </w:r>
      <w:r>
        <w:rPr>
          <w:rFonts w:hint="eastAsia"/>
        </w:rPr>
        <w:t>机</w:t>
      </w:r>
      <w:r>
        <w:t>航摄安全作业基本要求</w:t>
      </w:r>
    </w:p>
    <w:p w14:paraId="1CA6A61E">
      <w:pPr>
        <w:pStyle w:val="32"/>
        <w:ind w:firstLine="0" w:firstLineChars="0"/>
        <w:rPr>
          <w:rFonts w:hint="eastAsia"/>
        </w:rPr>
      </w:pPr>
      <w:r>
        <w:rPr>
          <w:rFonts w:hint="eastAsia"/>
        </w:rPr>
        <w:t xml:space="preserve">[11] </w:t>
      </w:r>
      <w:r>
        <w:t xml:space="preserve">T/CAOE 22-2020 </w:t>
      </w:r>
      <w:r>
        <w:rPr>
          <w:rFonts w:hint="eastAsia"/>
        </w:rPr>
        <w:t xml:space="preserve">   </w:t>
      </w:r>
      <w:r>
        <w:t>海洋无人</w:t>
      </w:r>
      <w:r>
        <w:rPr>
          <w:rFonts w:hint="eastAsia"/>
        </w:rPr>
        <w:t>机</w:t>
      </w:r>
      <w:r>
        <w:t>系统通用要求</w:t>
      </w:r>
    </w:p>
    <w:p w14:paraId="10B875F6">
      <w:pPr>
        <w:pStyle w:val="32"/>
        <w:ind w:firstLine="0" w:firstLineChars="0"/>
        <w:rPr>
          <w:rFonts w:hint="eastAsia"/>
        </w:rPr>
      </w:pPr>
      <w:bookmarkStart w:id="584" w:name="OLE_LINK55"/>
      <w:r>
        <w:rPr>
          <w:rFonts w:hint="eastAsia"/>
        </w:rPr>
        <w:t xml:space="preserve">[12] </w:t>
      </w:r>
      <w:r>
        <w:t>T/HBUAV 003-2025</w:t>
      </w:r>
      <w:bookmarkEnd w:id="584"/>
      <w:r>
        <w:rPr>
          <w:rFonts w:hint="eastAsia"/>
        </w:rPr>
        <w:t xml:space="preserve">  </w:t>
      </w:r>
      <w:r>
        <w:t>复合翼垂直起降无人机通用技术条件</w:t>
      </w:r>
    </w:p>
    <w:p w14:paraId="4C0E3BA9">
      <w:pPr>
        <w:pStyle w:val="32"/>
        <w:ind w:firstLine="0" w:firstLineChars="0"/>
        <w:rPr>
          <w:rFonts w:hint="eastAsia"/>
        </w:rPr>
      </w:pPr>
      <w:r>
        <w:rPr>
          <w:rFonts w:hint="eastAsia"/>
        </w:rPr>
        <w:t xml:space="preserve">[13] </w:t>
      </w:r>
      <w:r>
        <w:t xml:space="preserve">T/COFA 0009-2022 </w:t>
      </w:r>
      <w:r>
        <w:rPr>
          <w:rFonts w:hint="eastAsia"/>
        </w:rPr>
        <w:t xml:space="preserve"> </w:t>
      </w:r>
      <w:bookmarkStart w:id="585" w:name="OLE_LINK70"/>
      <w:r>
        <w:t>远洋金枪鱼围网渔船渔情搜索用船载无人机系统作业规程</w:t>
      </w:r>
      <w:bookmarkEnd w:id="585"/>
    </w:p>
    <w:p w14:paraId="6B2615A3">
      <w:pPr>
        <w:pStyle w:val="32"/>
        <w:ind w:firstLine="0" w:firstLineChars="0"/>
        <w:rPr>
          <w:rFonts w:hint="eastAsia"/>
        </w:rPr>
      </w:pPr>
      <w:r>
        <w:rPr>
          <w:rFonts w:hint="eastAsia"/>
        </w:rPr>
        <w:t xml:space="preserve">[14] </w:t>
      </w:r>
      <w:r>
        <w:t>T/BITS 0016-2023</w:t>
      </w:r>
      <w:r>
        <w:rPr>
          <w:rFonts w:hint="eastAsia"/>
        </w:rPr>
        <w:t xml:space="preserve">  </w:t>
      </w:r>
      <w:r>
        <w:t>基于垂直起降无人飞行器的船上起降平台技术要求</w:t>
      </w:r>
    </w:p>
    <w:p w14:paraId="45131A25">
      <w:pPr>
        <w:pStyle w:val="32"/>
        <w:ind w:firstLine="0" w:firstLineChars="0"/>
        <w:rPr>
          <w:rFonts w:hint="eastAsia"/>
        </w:rPr>
      </w:pPr>
      <w:r>
        <w:rPr>
          <w:rFonts w:hint="eastAsia"/>
        </w:rPr>
        <w:t xml:space="preserve">[15] </w:t>
      </w:r>
      <w:r>
        <w:t>TCCAATB 000-2024</w:t>
      </w:r>
      <w:r>
        <w:rPr>
          <w:rFonts w:hint="eastAsia"/>
        </w:rPr>
        <w:t xml:space="preserve">  </w:t>
      </w:r>
      <w:r>
        <w:t>电动垂直起降航空器（eVTOL）起降场建设技术要求</w:t>
      </w:r>
    </w:p>
    <w:p w14:paraId="0A10F0D3">
      <w:pPr>
        <w:pStyle w:val="32"/>
        <w:ind w:firstLine="0" w:firstLineChars="0"/>
        <w:rPr>
          <w:rFonts w:hint="eastAsia"/>
        </w:rPr>
      </w:pPr>
      <w:r>
        <w:rPr>
          <w:rFonts w:hint="eastAsia"/>
        </w:rPr>
        <w:t xml:space="preserve">[16] </w:t>
      </w:r>
      <w:r>
        <w:t xml:space="preserve">T/QGCML 4738-2024 </w:t>
      </w:r>
      <w:r>
        <w:rPr>
          <w:rFonts w:hint="eastAsia"/>
        </w:rPr>
        <w:t xml:space="preserve">  </w:t>
      </w:r>
      <w:r>
        <w:t>电动垂直起降（eVTOL）无人机通用技术要求</w:t>
      </w:r>
    </w:p>
    <w:p w14:paraId="69199513">
      <w:pPr>
        <w:pStyle w:val="32"/>
        <w:ind w:firstLine="0" w:firstLineChars="0"/>
        <w:rPr>
          <w:rFonts w:hint="eastAsia"/>
        </w:rPr>
      </w:pPr>
      <w:r>
        <w:rPr>
          <w:rFonts w:hint="eastAsia"/>
        </w:rPr>
        <w:t xml:space="preserve">[17] </w:t>
      </w:r>
      <w:r>
        <w:t>T/CI 448-2024</w:t>
      </w:r>
      <w:r>
        <w:rPr>
          <w:rFonts w:hint="eastAsia"/>
        </w:rPr>
        <w:t xml:space="preserve">       </w:t>
      </w:r>
      <w:r>
        <w:t>电动垂直起降航空器通用技术要求</w:t>
      </w:r>
    </w:p>
    <w:p w14:paraId="4078A76C">
      <w:pPr>
        <w:pStyle w:val="32"/>
        <w:ind w:firstLine="0" w:firstLineChars="0"/>
        <w:rPr>
          <w:rFonts w:hint="eastAsia"/>
        </w:rPr>
      </w:pPr>
      <w:r>
        <w:rPr>
          <w:rFonts w:hint="eastAsia"/>
        </w:rPr>
        <w:t xml:space="preserve">[18] </w:t>
      </w:r>
      <w:r>
        <w:t>T/CWAN 0065-2022</w:t>
      </w:r>
      <w:r>
        <w:rPr>
          <w:rFonts w:hint="eastAsia"/>
        </w:rPr>
        <w:t xml:space="preserve">    </w:t>
      </w:r>
      <w:r>
        <w:t>船舶甲板防滑点制作规程</w:t>
      </w:r>
    </w:p>
    <w:p w14:paraId="4E79F7BC">
      <w:pPr>
        <w:pStyle w:val="32"/>
        <w:ind w:firstLine="0" w:firstLineChars="0"/>
        <w:rPr>
          <w:rFonts w:hint="eastAsia"/>
        </w:rPr>
      </w:pPr>
      <w:r>
        <w:rPr>
          <w:rFonts w:hint="eastAsia"/>
        </w:rPr>
        <w:t xml:space="preserve">[19] </w:t>
      </w:r>
      <w:r>
        <w:t xml:space="preserve">GB∕T 37307-2019 </w:t>
      </w:r>
      <w:r>
        <w:rPr>
          <w:rFonts w:hint="eastAsia"/>
        </w:rPr>
        <w:t xml:space="preserve">   </w:t>
      </w:r>
      <w:r>
        <w:t>海洋平台用直升机甲板设计要求</w:t>
      </w:r>
    </w:p>
    <w:p w14:paraId="3B925607">
      <w:pPr>
        <w:pStyle w:val="32"/>
        <w:ind w:firstLine="0" w:firstLineChars="0"/>
        <w:rPr>
          <w:rFonts w:hint="eastAsia"/>
        </w:rPr>
      </w:pPr>
      <w:r>
        <w:rPr>
          <w:rFonts w:hint="eastAsia"/>
        </w:rPr>
        <w:t xml:space="preserve">[20] </w:t>
      </w:r>
      <w:r>
        <w:t>GJB 534B-2009</w:t>
      </w:r>
      <w:r>
        <w:rPr>
          <w:rFonts w:hint="eastAsia"/>
        </w:rPr>
        <w:t xml:space="preserve">       </w:t>
      </w:r>
      <w:r>
        <w:t>舰船直升机舰面系统通用要求</w:t>
      </w:r>
    </w:p>
    <w:p w14:paraId="5C961682">
      <w:pPr>
        <w:ind w:firstLine="381"/>
        <w:rPr>
          <w:rFonts w:hint="eastAsia"/>
          <w:spacing w:val="-8"/>
          <w:w w:val="95"/>
          <w:lang w:eastAsia="zh-CN"/>
        </w:rPr>
      </w:pPr>
      <w:r>
        <w:rPr>
          <w:rFonts w:hint="eastAsia"/>
          <w:spacing w:val="-8"/>
          <w:w w:val="95"/>
          <w:lang w:eastAsia="zh-CN"/>
        </w:rPr>
        <w:t xml:space="preserve"> </w:t>
      </w:r>
      <w:bookmarkEnd w:id="0"/>
    </w:p>
    <w:sectPr>
      <w:headerReference r:id="rId13" w:type="default"/>
      <w:footerReference r:id="rId14" w:type="default"/>
      <w:pgSz w:w="11910" w:h="16840"/>
      <w:pgMar w:top="1640" w:right="720" w:bottom="1340" w:left="1260" w:header="1449" w:footer="1141"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0A02A">
    <w:pPr>
      <w:pStyle w:val="13"/>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D2447">
    <w:pPr>
      <w:pStyle w:val="13"/>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8E941">
    <w:pPr>
      <w:pStyle w:val="13"/>
      <w:ind w:firstLine="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2185643"/>
      <w:docPartObj>
        <w:docPartGallery w:val="autotext"/>
      </w:docPartObj>
    </w:sdtPr>
    <w:sdtContent>
      <w:p w14:paraId="666E604F">
        <w:pPr>
          <w:pStyle w:val="13"/>
          <w:ind w:firstLine="360"/>
          <w:jc w:val="center"/>
          <w:rPr>
            <w:rFonts w:hint="eastAsia"/>
          </w:rPr>
        </w:pPr>
        <w:r>
          <w:fldChar w:fldCharType="begin"/>
        </w:r>
        <w:r>
          <w:instrText xml:space="preserve">PAGE   \* MERGEFORMAT</w:instrText>
        </w:r>
        <w:r>
          <w:fldChar w:fldCharType="separate"/>
        </w:r>
        <w:r>
          <w:rPr>
            <w:lang w:val="zh-CN" w:eastAsia="zh-CN"/>
          </w:rPr>
          <w:t>2</w:t>
        </w:r>
        <w:r>
          <w:fldChar w:fldCharType="end"/>
        </w:r>
      </w:p>
    </w:sdtContent>
  </w:sdt>
  <w:p w14:paraId="61B300FB">
    <w:pPr>
      <w:pStyle w:val="8"/>
      <w:spacing w:line="14" w:lineRule="auto"/>
      <w:ind w:firstLine="400"/>
      <w:rPr>
        <w:rFonts w:hint="eastAsia"/>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8087812"/>
      <w:docPartObj>
        <w:docPartGallery w:val="autotext"/>
      </w:docPartObj>
    </w:sdtPr>
    <w:sdtContent>
      <w:p w14:paraId="49AA3345">
        <w:pPr>
          <w:pStyle w:val="13"/>
          <w:ind w:firstLine="360"/>
          <w:jc w:val="center"/>
          <w:rPr>
            <w:rFonts w:hint="eastAsia"/>
          </w:rPr>
        </w:pPr>
        <w:r>
          <w:fldChar w:fldCharType="begin"/>
        </w:r>
        <w:r>
          <w:instrText xml:space="preserve">PAGE   \* MERGEFORMAT</w:instrText>
        </w:r>
        <w:r>
          <w:fldChar w:fldCharType="separate"/>
        </w:r>
        <w:r>
          <w:rPr>
            <w:lang w:val="zh-CN" w:eastAsia="zh-CN"/>
          </w:rPr>
          <w:t>2</w:t>
        </w:r>
        <w:r>
          <w:fldChar w:fldCharType="end"/>
        </w:r>
      </w:p>
    </w:sdtContent>
  </w:sdt>
  <w:p w14:paraId="5FDA7C5B">
    <w:pPr>
      <w:pStyle w:val="8"/>
      <w:spacing w:line="14" w:lineRule="auto"/>
      <w:ind w:firstLine="400"/>
      <w:rPr>
        <w:rFonts w:hint="eastAsia"/>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B146F">
    <w:pPr>
      <w:pStyle w:val="14"/>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CE70A">
    <w:pPr>
      <w:pStyle w:val="14"/>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D19FF">
    <w:pPr>
      <w:pStyle w:val="14"/>
      <w:ind w:firstLine="360"/>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A67C2">
    <w:pPr>
      <w:pStyle w:val="8"/>
      <w:spacing w:line="14" w:lineRule="auto"/>
      <w:ind w:firstLine="420"/>
      <w:rPr>
        <w:rFonts w:hint="eastAsia"/>
        <w:sz w:val="20"/>
      </w:rPr>
    </w:pPr>
    <w:r>
      <mc:AlternateContent>
        <mc:Choice Requires="wps">
          <w:drawing>
            <wp:anchor distT="0" distB="0" distL="114300" distR="114300" simplePos="0" relativeHeight="251660288" behindDoc="1" locked="0" layoutInCell="1" allowOverlap="1">
              <wp:simplePos x="0" y="0"/>
              <wp:positionH relativeFrom="page">
                <wp:posOffset>5760085</wp:posOffset>
              </wp:positionH>
              <wp:positionV relativeFrom="page">
                <wp:posOffset>906780</wp:posOffset>
              </wp:positionV>
              <wp:extent cx="1093470" cy="158115"/>
              <wp:effectExtent l="0" t="0" r="0" b="0"/>
              <wp:wrapNone/>
              <wp:docPr id="12" name="文本框 1"/>
              <wp:cNvGraphicFramePr/>
              <a:graphic xmlns:a="http://schemas.openxmlformats.org/drawingml/2006/main">
                <a:graphicData uri="http://schemas.microsoft.com/office/word/2010/wordprocessingShape">
                  <wps:wsp>
                    <wps:cNvSpPr txBox="1"/>
                    <wps:spPr>
                      <a:xfrm>
                        <a:off x="0" y="0"/>
                        <a:ext cx="1093470" cy="158115"/>
                      </a:xfrm>
                      <a:prstGeom prst="rect">
                        <a:avLst/>
                      </a:prstGeom>
                      <a:noFill/>
                      <a:ln>
                        <a:noFill/>
                      </a:ln>
                    </wps:spPr>
                    <wps:txbx>
                      <w:txbxContent>
                        <w:p w14:paraId="23BE1CC6">
                          <w:pPr>
                            <w:pStyle w:val="8"/>
                            <w:spacing w:line="249" w:lineRule="exact"/>
                            <w:ind w:left="20" w:firstLine="420"/>
                            <w:rPr>
                              <w:rFonts w:hint="eastAsia" w:ascii="黑体" w:hAnsi="黑体"/>
                            </w:rPr>
                          </w:pPr>
                          <w:r>
                            <w:rPr>
                              <w:rFonts w:ascii="黑体" w:hAnsi="黑体"/>
                            </w:rPr>
                            <w:t>T/XXX XXXX</w:t>
                          </w:r>
                          <w:r>
                            <w:t>—</w:t>
                          </w:r>
                          <w:r>
                            <w:rPr>
                              <w:rFonts w:ascii="黑体" w:hAnsi="黑体"/>
                            </w:rPr>
                            <w:t>2025</w:t>
                          </w:r>
                        </w:p>
                      </w:txbxContent>
                    </wps:txbx>
                    <wps:bodyPr lIns="0" tIns="0" rIns="0" bIns="0" upright="1"/>
                  </wps:wsp>
                </a:graphicData>
              </a:graphic>
            </wp:anchor>
          </w:drawing>
        </mc:Choice>
        <mc:Fallback>
          <w:pict>
            <v:shape id="文本框 1" o:spid="_x0000_s1026" o:spt="202" type="#_x0000_t202" style="position:absolute;left:0pt;margin-left:453.55pt;margin-top:71.4pt;height:12.45pt;width:86.1pt;mso-position-horizontal-relative:page;mso-position-vertical-relative:page;z-index:-251656192;mso-width-relative:page;mso-height-relative:page;" filled="f" stroked="f" coordsize="21600,21600" o:gfxdata="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TVTls2gAAAAwBAAAPAAAAAAAAAAEAIAAAACIAAABkcnMvZG93bnJldi54bWxQSwEC&#10;FAAUAAAACACHTuJAYtiFf7kBAABzAwAADgAAAAAAAAABACAAAAApAQAAZHJzL2Uyb0RvYy54bWxQ&#10;SwUGAAAAAAYABgBZAQAAVAUAAAAA&#10;">
              <v:fill on="f" focussize="0,0"/>
              <v:stroke on="f"/>
              <v:imagedata o:title=""/>
              <o:lock v:ext="edit" aspectratio="f"/>
              <v:textbox inset="0mm,0mm,0mm,0mm">
                <w:txbxContent>
                  <w:p w14:paraId="23BE1CC6">
                    <w:pPr>
                      <w:pStyle w:val="8"/>
                      <w:spacing w:line="249" w:lineRule="exact"/>
                      <w:ind w:left="20" w:firstLine="420"/>
                      <w:rPr>
                        <w:rFonts w:hint="eastAsia" w:ascii="黑体" w:hAnsi="黑体"/>
                      </w:rPr>
                    </w:pPr>
                    <w:r>
                      <w:rPr>
                        <w:rFonts w:ascii="黑体" w:hAnsi="黑体"/>
                      </w:rPr>
                      <w:t>T/XXX XXXX</w:t>
                    </w:r>
                    <w:r>
                      <w:t>—</w:t>
                    </w:r>
                    <w:r>
                      <w:rPr>
                        <w:rFonts w:ascii="黑体" w:hAnsi="黑体"/>
                      </w:rPr>
                      <w:t>2025</w:t>
                    </w: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1CB89">
    <w:pPr>
      <w:pStyle w:val="8"/>
      <w:spacing w:line="14" w:lineRule="auto"/>
      <w:ind w:firstLine="420"/>
      <w:rPr>
        <w:rFonts w:hint="eastAsia"/>
        <w:sz w:val="20"/>
      </w:rPr>
    </w:pPr>
    <w:r>
      <mc:AlternateContent>
        <mc:Choice Requires="wps">
          <w:drawing>
            <wp:anchor distT="0" distB="0" distL="114300" distR="114300" simplePos="0" relativeHeight="251661312" behindDoc="1" locked="0" layoutInCell="1" allowOverlap="1">
              <wp:simplePos x="0" y="0"/>
              <wp:positionH relativeFrom="page">
                <wp:posOffset>5760085</wp:posOffset>
              </wp:positionH>
              <wp:positionV relativeFrom="page">
                <wp:posOffset>906780</wp:posOffset>
              </wp:positionV>
              <wp:extent cx="1093470" cy="158115"/>
              <wp:effectExtent l="0" t="0" r="0" b="0"/>
              <wp:wrapNone/>
              <wp:docPr id="16" name="文本框 3"/>
              <wp:cNvGraphicFramePr/>
              <a:graphic xmlns:a="http://schemas.openxmlformats.org/drawingml/2006/main">
                <a:graphicData uri="http://schemas.microsoft.com/office/word/2010/wordprocessingShape">
                  <wps:wsp>
                    <wps:cNvSpPr txBox="1"/>
                    <wps:spPr>
                      <a:xfrm>
                        <a:off x="0" y="0"/>
                        <a:ext cx="1093470" cy="158115"/>
                      </a:xfrm>
                      <a:prstGeom prst="rect">
                        <a:avLst/>
                      </a:prstGeom>
                      <a:noFill/>
                      <a:ln>
                        <a:noFill/>
                      </a:ln>
                    </wps:spPr>
                    <wps:txbx>
                      <w:txbxContent>
                        <w:p w14:paraId="1553C662">
                          <w:pPr>
                            <w:pStyle w:val="8"/>
                            <w:spacing w:line="249" w:lineRule="exact"/>
                            <w:ind w:left="20" w:firstLine="420"/>
                            <w:rPr>
                              <w:rFonts w:hint="eastAsia" w:ascii="黑体" w:hAnsi="黑体"/>
                            </w:rPr>
                          </w:pPr>
                          <w:r>
                            <w:rPr>
                              <w:rFonts w:ascii="黑体" w:hAnsi="黑体"/>
                            </w:rPr>
                            <w:t>T/XXX XXXX</w:t>
                          </w:r>
                          <w:r>
                            <w:t>—</w:t>
                          </w:r>
                          <w:r>
                            <w:rPr>
                              <w:rFonts w:ascii="黑体" w:hAnsi="黑体"/>
                            </w:rPr>
                            <w:t>2025</w:t>
                          </w:r>
                        </w:p>
                      </w:txbxContent>
                    </wps:txbx>
                    <wps:bodyPr lIns="0" tIns="0" rIns="0" bIns="0" upright="1"/>
                  </wps:wsp>
                </a:graphicData>
              </a:graphic>
            </wp:anchor>
          </w:drawing>
        </mc:Choice>
        <mc:Fallback>
          <w:pict>
            <v:shape id="文本框 3" o:spid="_x0000_s1026" o:spt="202" type="#_x0000_t202" style="position:absolute;left:0pt;margin-left:453.55pt;margin-top:71.4pt;height:12.45pt;width:86.1pt;mso-position-horizontal-relative:page;mso-position-vertical-relative:page;z-index:-251655168;mso-width-relative:page;mso-height-relative:page;" filled="f" stroked="f" coordsize="21600,21600" o:gfxdata="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1U5bNoAAAAMAQAADwAAAAAAAAABACAAAAAiAAAAZHJzL2Rvd25yZXYueG1sUEsB&#10;AhQAFAAAAAgAh07iQJ8wh7e6AQAAcwMAAA4AAAAAAAAAAQAgAAAAKQEAAGRycy9lMm9Eb2MueG1s&#10;UEsFBgAAAAAGAAYAWQEAAFUFAAAAAA==&#10;">
              <v:fill on="f" focussize="0,0"/>
              <v:stroke on="f"/>
              <v:imagedata o:title=""/>
              <o:lock v:ext="edit" aspectratio="f"/>
              <v:textbox inset="0mm,0mm,0mm,0mm">
                <w:txbxContent>
                  <w:p w14:paraId="1553C662">
                    <w:pPr>
                      <w:pStyle w:val="8"/>
                      <w:spacing w:line="249" w:lineRule="exact"/>
                      <w:ind w:left="20" w:firstLine="420"/>
                      <w:rPr>
                        <w:rFonts w:hint="eastAsia" w:ascii="黑体" w:hAnsi="黑体"/>
                      </w:rPr>
                    </w:pPr>
                    <w:r>
                      <w:rPr>
                        <w:rFonts w:ascii="黑体" w:hAnsi="黑体"/>
                      </w:rPr>
                      <w:t>T/XXX XXXX</w:t>
                    </w:r>
                    <w:r>
                      <w:t>—</w:t>
                    </w:r>
                    <w:r>
                      <w:rPr>
                        <w:rFonts w:ascii="黑体" w:hAnsi="黑体"/>
                      </w:rPr>
                      <w:t>2025</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53"/>
      <w:lvlText w:val="%1)"/>
      <w:lvlJc w:val="left"/>
      <w:pPr>
        <w:tabs>
          <w:tab w:val="left" w:pos="851"/>
        </w:tabs>
        <w:ind w:left="851" w:hanging="426"/>
      </w:pPr>
      <w:rPr>
        <w:rFonts w:hint="eastAsia" w:ascii="宋体" w:hAnsi="Times New Roman" w:eastAsia="宋体"/>
        <w:sz w:val="21"/>
      </w:rPr>
    </w:lvl>
    <w:lvl w:ilvl="1" w:tentative="0">
      <w:start w:val="1"/>
      <w:numFmt w:val="decimal"/>
      <w:pStyle w:val="43"/>
      <w:lvlText w:val="%2)"/>
      <w:lvlJc w:val="left"/>
      <w:pPr>
        <w:tabs>
          <w:tab w:val="left" w:pos="1276"/>
        </w:tabs>
        <w:ind w:left="1276" w:hanging="425"/>
      </w:pPr>
      <w:rPr>
        <w:rFonts w:hint="eastAsia" w:ascii="宋体" w:hAnsi="Times New Roman" w:eastAsia="宋体"/>
        <w:sz w:val="21"/>
      </w:rPr>
    </w:lvl>
    <w:lvl w:ilvl="2" w:tentative="0">
      <w:start w:val="1"/>
      <w:numFmt w:val="decimal"/>
      <w:pStyle w:val="44"/>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endnotePr>
    <w:endnote w:id="0"/>
    <w:endnote w:id="1"/>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FE2"/>
    <w:rsid w:val="000171FC"/>
    <w:rsid w:val="00023830"/>
    <w:rsid w:val="0003573D"/>
    <w:rsid w:val="00043F82"/>
    <w:rsid w:val="0004536F"/>
    <w:rsid w:val="00054633"/>
    <w:rsid w:val="00060D82"/>
    <w:rsid w:val="00063DE9"/>
    <w:rsid w:val="000704E0"/>
    <w:rsid w:val="00080785"/>
    <w:rsid w:val="00082B36"/>
    <w:rsid w:val="00084223"/>
    <w:rsid w:val="000A131C"/>
    <w:rsid w:val="000B0D5D"/>
    <w:rsid w:val="000B23D2"/>
    <w:rsid w:val="000B6EEA"/>
    <w:rsid w:val="000B7FCE"/>
    <w:rsid w:val="000E0C66"/>
    <w:rsid w:val="000E0E5A"/>
    <w:rsid w:val="000E7862"/>
    <w:rsid w:val="000F2417"/>
    <w:rsid w:val="000F70D6"/>
    <w:rsid w:val="0010244A"/>
    <w:rsid w:val="0011118A"/>
    <w:rsid w:val="00112354"/>
    <w:rsid w:val="0011480B"/>
    <w:rsid w:val="00116F53"/>
    <w:rsid w:val="001220CA"/>
    <w:rsid w:val="001418D8"/>
    <w:rsid w:val="00143F49"/>
    <w:rsid w:val="00144194"/>
    <w:rsid w:val="0014730B"/>
    <w:rsid w:val="00163895"/>
    <w:rsid w:val="0016553B"/>
    <w:rsid w:val="00173562"/>
    <w:rsid w:val="001760B8"/>
    <w:rsid w:val="00182275"/>
    <w:rsid w:val="0018243F"/>
    <w:rsid w:val="00186699"/>
    <w:rsid w:val="00193B24"/>
    <w:rsid w:val="00196F22"/>
    <w:rsid w:val="001B3FEB"/>
    <w:rsid w:val="001C2068"/>
    <w:rsid w:val="001C2FDB"/>
    <w:rsid w:val="001C3F79"/>
    <w:rsid w:val="001D1C69"/>
    <w:rsid w:val="001D31F4"/>
    <w:rsid w:val="001F1830"/>
    <w:rsid w:val="002043C2"/>
    <w:rsid w:val="0020589A"/>
    <w:rsid w:val="00207784"/>
    <w:rsid w:val="00224563"/>
    <w:rsid w:val="00224B61"/>
    <w:rsid w:val="0022751A"/>
    <w:rsid w:val="00243AC0"/>
    <w:rsid w:val="002578D7"/>
    <w:rsid w:val="00262CBB"/>
    <w:rsid w:val="00266DF8"/>
    <w:rsid w:val="00272DA2"/>
    <w:rsid w:val="002770AF"/>
    <w:rsid w:val="00283245"/>
    <w:rsid w:val="002951C5"/>
    <w:rsid w:val="00297BBA"/>
    <w:rsid w:val="002B2902"/>
    <w:rsid w:val="002C3052"/>
    <w:rsid w:val="002C606C"/>
    <w:rsid w:val="002D640B"/>
    <w:rsid w:val="002D73F3"/>
    <w:rsid w:val="002F021C"/>
    <w:rsid w:val="002F1760"/>
    <w:rsid w:val="002F23BC"/>
    <w:rsid w:val="00304651"/>
    <w:rsid w:val="003077A3"/>
    <w:rsid w:val="0031732F"/>
    <w:rsid w:val="00326172"/>
    <w:rsid w:val="0033619C"/>
    <w:rsid w:val="003366E3"/>
    <w:rsid w:val="00345B85"/>
    <w:rsid w:val="00347D3E"/>
    <w:rsid w:val="00347D64"/>
    <w:rsid w:val="003579FE"/>
    <w:rsid w:val="00360432"/>
    <w:rsid w:val="00361145"/>
    <w:rsid w:val="0037332F"/>
    <w:rsid w:val="0038232E"/>
    <w:rsid w:val="003826AD"/>
    <w:rsid w:val="00386C17"/>
    <w:rsid w:val="0039151C"/>
    <w:rsid w:val="00395DEE"/>
    <w:rsid w:val="003A11D5"/>
    <w:rsid w:val="003B0DD2"/>
    <w:rsid w:val="003C11C2"/>
    <w:rsid w:val="003C38CB"/>
    <w:rsid w:val="003C3EF6"/>
    <w:rsid w:val="003D3E72"/>
    <w:rsid w:val="003D5E49"/>
    <w:rsid w:val="003E5E29"/>
    <w:rsid w:val="003F0A07"/>
    <w:rsid w:val="00403F28"/>
    <w:rsid w:val="00404801"/>
    <w:rsid w:val="00412653"/>
    <w:rsid w:val="00417945"/>
    <w:rsid w:val="00423B45"/>
    <w:rsid w:val="0042605B"/>
    <w:rsid w:val="00430E5F"/>
    <w:rsid w:val="004435D4"/>
    <w:rsid w:val="00445968"/>
    <w:rsid w:val="00457D9C"/>
    <w:rsid w:val="00462EAE"/>
    <w:rsid w:val="004A118E"/>
    <w:rsid w:val="004A6988"/>
    <w:rsid w:val="004A75B3"/>
    <w:rsid w:val="004C28C0"/>
    <w:rsid w:val="004D04FD"/>
    <w:rsid w:val="004E190C"/>
    <w:rsid w:val="004E65BA"/>
    <w:rsid w:val="004E66D4"/>
    <w:rsid w:val="004F3B2A"/>
    <w:rsid w:val="004F512C"/>
    <w:rsid w:val="005028A1"/>
    <w:rsid w:val="005049FB"/>
    <w:rsid w:val="0051130C"/>
    <w:rsid w:val="00513237"/>
    <w:rsid w:val="00522A49"/>
    <w:rsid w:val="005272BD"/>
    <w:rsid w:val="0053414C"/>
    <w:rsid w:val="0054378B"/>
    <w:rsid w:val="00553226"/>
    <w:rsid w:val="00563CBD"/>
    <w:rsid w:val="00571735"/>
    <w:rsid w:val="00584DFD"/>
    <w:rsid w:val="0058569D"/>
    <w:rsid w:val="0059378F"/>
    <w:rsid w:val="005A3473"/>
    <w:rsid w:val="005B2606"/>
    <w:rsid w:val="005B5222"/>
    <w:rsid w:val="005C487D"/>
    <w:rsid w:val="005D0D3B"/>
    <w:rsid w:val="005D4EF3"/>
    <w:rsid w:val="005D6E54"/>
    <w:rsid w:val="005E1AE4"/>
    <w:rsid w:val="005E4677"/>
    <w:rsid w:val="005E6954"/>
    <w:rsid w:val="005F505C"/>
    <w:rsid w:val="00600410"/>
    <w:rsid w:val="00615DE8"/>
    <w:rsid w:val="00616D57"/>
    <w:rsid w:val="00620165"/>
    <w:rsid w:val="00642175"/>
    <w:rsid w:val="00654F60"/>
    <w:rsid w:val="006572A4"/>
    <w:rsid w:val="0066493D"/>
    <w:rsid w:val="00674290"/>
    <w:rsid w:val="00682E2C"/>
    <w:rsid w:val="006858C7"/>
    <w:rsid w:val="0068799D"/>
    <w:rsid w:val="00693EC6"/>
    <w:rsid w:val="006969FD"/>
    <w:rsid w:val="006B5164"/>
    <w:rsid w:val="006C7ED4"/>
    <w:rsid w:val="006E1F0E"/>
    <w:rsid w:val="006E4466"/>
    <w:rsid w:val="006E60B3"/>
    <w:rsid w:val="006E6D76"/>
    <w:rsid w:val="007052EB"/>
    <w:rsid w:val="00706769"/>
    <w:rsid w:val="00723210"/>
    <w:rsid w:val="007249B5"/>
    <w:rsid w:val="007427FB"/>
    <w:rsid w:val="00750429"/>
    <w:rsid w:val="0076353A"/>
    <w:rsid w:val="00773EAC"/>
    <w:rsid w:val="00774EAF"/>
    <w:rsid w:val="00785C34"/>
    <w:rsid w:val="00786185"/>
    <w:rsid w:val="00795E41"/>
    <w:rsid w:val="007A36AB"/>
    <w:rsid w:val="007A4F6F"/>
    <w:rsid w:val="007A69CE"/>
    <w:rsid w:val="007D2185"/>
    <w:rsid w:val="007D2E1B"/>
    <w:rsid w:val="007D3338"/>
    <w:rsid w:val="007D51D9"/>
    <w:rsid w:val="007D7B17"/>
    <w:rsid w:val="007E1EB0"/>
    <w:rsid w:val="007F4C67"/>
    <w:rsid w:val="007F7418"/>
    <w:rsid w:val="00810279"/>
    <w:rsid w:val="008226B1"/>
    <w:rsid w:val="0083127F"/>
    <w:rsid w:val="008427A5"/>
    <w:rsid w:val="00843764"/>
    <w:rsid w:val="0085683C"/>
    <w:rsid w:val="00862CDD"/>
    <w:rsid w:val="008633EA"/>
    <w:rsid w:val="0086746B"/>
    <w:rsid w:val="00876EF3"/>
    <w:rsid w:val="00884781"/>
    <w:rsid w:val="00886921"/>
    <w:rsid w:val="008945EC"/>
    <w:rsid w:val="008947E7"/>
    <w:rsid w:val="008A0B43"/>
    <w:rsid w:val="008A5866"/>
    <w:rsid w:val="008A6F6B"/>
    <w:rsid w:val="008B1C42"/>
    <w:rsid w:val="008B37A2"/>
    <w:rsid w:val="008B4397"/>
    <w:rsid w:val="008C142E"/>
    <w:rsid w:val="008C1810"/>
    <w:rsid w:val="008C2728"/>
    <w:rsid w:val="008C38C4"/>
    <w:rsid w:val="008C7F3E"/>
    <w:rsid w:val="008D4E34"/>
    <w:rsid w:val="008E54BD"/>
    <w:rsid w:val="009129E6"/>
    <w:rsid w:val="0091388C"/>
    <w:rsid w:val="00921380"/>
    <w:rsid w:val="009238C7"/>
    <w:rsid w:val="009450F6"/>
    <w:rsid w:val="009509FD"/>
    <w:rsid w:val="0095276D"/>
    <w:rsid w:val="00954A5E"/>
    <w:rsid w:val="00975B9A"/>
    <w:rsid w:val="00981C63"/>
    <w:rsid w:val="00991DC9"/>
    <w:rsid w:val="00997CB8"/>
    <w:rsid w:val="009A247B"/>
    <w:rsid w:val="009A5071"/>
    <w:rsid w:val="009A7282"/>
    <w:rsid w:val="009B5533"/>
    <w:rsid w:val="009C79C0"/>
    <w:rsid w:val="009D0A4E"/>
    <w:rsid w:val="009D2CDB"/>
    <w:rsid w:val="009E6151"/>
    <w:rsid w:val="00A00BA8"/>
    <w:rsid w:val="00A02132"/>
    <w:rsid w:val="00A03F0E"/>
    <w:rsid w:val="00A14212"/>
    <w:rsid w:val="00A32CCA"/>
    <w:rsid w:val="00A443DF"/>
    <w:rsid w:val="00A57FD3"/>
    <w:rsid w:val="00A610EE"/>
    <w:rsid w:val="00A66D9B"/>
    <w:rsid w:val="00A70D7D"/>
    <w:rsid w:val="00A75138"/>
    <w:rsid w:val="00A761C1"/>
    <w:rsid w:val="00A7677A"/>
    <w:rsid w:val="00A914CC"/>
    <w:rsid w:val="00A91FE2"/>
    <w:rsid w:val="00A930FE"/>
    <w:rsid w:val="00A93EA2"/>
    <w:rsid w:val="00A9749F"/>
    <w:rsid w:val="00AB1D03"/>
    <w:rsid w:val="00AD2A15"/>
    <w:rsid w:val="00AD3B08"/>
    <w:rsid w:val="00AD3F7A"/>
    <w:rsid w:val="00AF7759"/>
    <w:rsid w:val="00B03B98"/>
    <w:rsid w:val="00B349D5"/>
    <w:rsid w:val="00B35C79"/>
    <w:rsid w:val="00B4101D"/>
    <w:rsid w:val="00B5669B"/>
    <w:rsid w:val="00B60D9D"/>
    <w:rsid w:val="00B62CD7"/>
    <w:rsid w:val="00B67478"/>
    <w:rsid w:val="00B7682B"/>
    <w:rsid w:val="00B86551"/>
    <w:rsid w:val="00BB2E68"/>
    <w:rsid w:val="00BC1529"/>
    <w:rsid w:val="00BC312D"/>
    <w:rsid w:val="00BC4AF3"/>
    <w:rsid w:val="00BC5DE5"/>
    <w:rsid w:val="00BD2EA7"/>
    <w:rsid w:val="00BD401D"/>
    <w:rsid w:val="00BD5C52"/>
    <w:rsid w:val="00BD799F"/>
    <w:rsid w:val="00BE6F7A"/>
    <w:rsid w:val="00BF3F56"/>
    <w:rsid w:val="00BF7676"/>
    <w:rsid w:val="00C00E62"/>
    <w:rsid w:val="00C03B4D"/>
    <w:rsid w:val="00C12A70"/>
    <w:rsid w:val="00C14D44"/>
    <w:rsid w:val="00C304A6"/>
    <w:rsid w:val="00C32449"/>
    <w:rsid w:val="00C3691A"/>
    <w:rsid w:val="00C36B88"/>
    <w:rsid w:val="00C37121"/>
    <w:rsid w:val="00C56167"/>
    <w:rsid w:val="00C6189E"/>
    <w:rsid w:val="00C63847"/>
    <w:rsid w:val="00C679D5"/>
    <w:rsid w:val="00C70A24"/>
    <w:rsid w:val="00C762DD"/>
    <w:rsid w:val="00C7792B"/>
    <w:rsid w:val="00C82C5A"/>
    <w:rsid w:val="00C90753"/>
    <w:rsid w:val="00CA017A"/>
    <w:rsid w:val="00CA34E2"/>
    <w:rsid w:val="00CB0659"/>
    <w:rsid w:val="00CB0C3B"/>
    <w:rsid w:val="00CB15FE"/>
    <w:rsid w:val="00CB4058"/>
    <w:rsid w:val="00CB4184"/>
    <w:rsid w:val="00CC0015"/>
    <w:rsid w:val="00CC31FF"/>
    <w:rsid w:val="00CD082A"/>
    <w:rsid w:val="00CD1E0E"/>
    <w:rsid w:val="00CD2E42"/>
    <w:rsid w:val="00CE236B"/>
    <w:rsid w:val="00CE4064"/>
    <w:rsid w:val="00CF341E"/>
    <w:rsid w:val="00CF7425"/>
    <w:rsid w:val="00CF7C95"/>
    <w:rsid w:val="00D06466"/>
    <w:rsid w:val="00D076A7"/>
    <w:rsid w:val="00D14AE0"/>
    <w:rsid w:val="00D310C6"/>
    <w:rsid w:val="00D32450"/>
    <w:rsid w:val="00D34C0E"/>
    <w:rsid w:val="00D375EA"/>
    <w:rsid w:val="00D52C40"/>
    <w:rsid w:val="00D61EFF"/>
    <w:rsid w:val="00D662B6"/>
    <w:rsid w:val="00D7618B"/>
    <w:rsid w:val="00D87386"/>
    <w:rsid w:val="00D93B40"/>
    <w:rsid w:val="00DA0394"/>
    <w:rsid w:val="00DA1822"/>
    <w:rsid w:val="00DA33ED"/>
    <w:rsid w:val="00DA6F7E"/>
    <w:rsid w:val="00DA73E9"/>
    <w:rsid w:val="00DB032A"/>
    <w:rsid w:val="00DB6886"/>
    <w:rsid w:val="00DB6B0B"/>
    <w:rsid w:val="00DB7132"/>
    <w:rsid w:val="00DC1BC0"/>
    <w:rsid w:val="00DC3EAE"/>
    <w:rsid w:val="00DC5DC7"/>
    <w:rsid w:val="00DC6CE6"/>
    <w:rsid w:val="00DE198A"/>
    <w:rsid w:val="00DF1E2A"/>
    <w:rsid w:val="00DF23DF"/>
    <w:rsid w:val="00E003A4"/>
    <w:rsid w:val="00E03057"/>
    <w:rsid w:val="00E0534F"/>
    <w:rsid w:val="00E0780D"/>
    <w:rsid w:val="00E07EB3"/>
    <w:rsid w:val="00E11AA5"/>
    <w:rsid w:val="00E166BC"/>
    <w:rsid w:val="00E210BE"/>
    <w:rsid w:val="00E22EA8"/>
    <w:rsid w:val="00E26BA7"/>
    <w:rsid w:val="00E30DBF"/>
    <w:rsid w:val="00E332E8"/>
    <w:rsid w:val="00E33CB2"/>
    <w:rsid w:val="00E35787"/>
    <w:rsid w:val="00E35868"/>
    <w:rsid w:val="00E8279B"/>
    <w:rsid w:val="00E8449D"/>
    <w:rsid w:val="00E91F27"/>
    <w:rsid w:val="00EB0753"/>
    <w:rsid w:val="00EB2B9A"/>
    <w:rsid w:val="00EB34B9"/>
    <w:rsid w:val="00EB480F"/>
    <w:rsid w:val="00EC6760"/>
    <w:rsid w:val="00ED0E30"/>
    <w:rsid w:val="00EE7CEC"/>
    <w:rsid w:val="00EF6A15"/>
    <w:rsid w:val="00F206C4"/>
    <w:rsid w:val="00F23337"/>
    <w:rsid w:val="00F26D53"/>
    <w:rsid w:val="00F42297"/>
    <w:rsid w:val="00F500D9"/>
    <w:rsid w:val="00F60BC7"/>
    <w:rsid w:val="00F656AB"/>
    <w:rsid w:val="00F724CF"/>
    <w:rsid w:val="00F73618"/>
    <w:rsid w:val="00F74A3E"/>
    <w:rsid w:val="00F859CF"/>
    <w:rsid w:val="00F937C1"/>
    <w:rsid w:val="00FB2504"/>
    <w:rsid w:val="00FB3CB5"/>
    <w:rsid w:val="00FB4DF0"/>
    <w:rsid w:val="00FC1258"/>
    <w:rsid w:val="00FC451B"/>
    <w:rsid w:val="00FD2FE2"/>
    <w:rsid w:val="00FE1109"/>
    <w:rsid w:val="00FE6A27"/>
    <w:rsid w:val="03781DDF"/>
    <w:rsid w:val="05057E78"/>
    <w:rsid w:val="05A813E6"/>
    <w:rsid w:val="09790CAC"/>
    <w:rsid w:val="0C98249A"/>
    <w:rsid w:val="0E3E6163"/>
    <w:rsid w:val="0F822241"/>
    <w:rsid w:val="118E5288"/>
    <w:rsid w:val="11A462FE"/>
    <w:rsid w:val="14782864"/>
    <w:rsid w:val="1B8B4E14"/>
    <w:rsid w:val="1C2B22A6"/>
    <w:rsid w:val="1E026A6D"/>
    <w:rsid w:val="1E0D0B1F"/>
    <w:rsid w:val="1EDC6808"/>
    <w:rsid w:val="215F37C2"/>
    <w:rsid w:val="27810A3E"/>
    <w:rsid w:val="27B46E67"/>
    <w:rsid w:val="28A973C8"/>
    <w:rsid w:val="28CD3D55"/>
    <w:rsid w:val="29DE39C1"/>
    <w:rsid w:val="2A860BD0"/>
    <w:rsid w:val="322E6825"/>
    <w:rsid w:val="32A10AE5"/>
    <w:rsid w:val="33C14AE0"/>
    <w:rsid w:val="34CB6452"/>
    <w:rsid w:val="38AA37FA"/>
    <w:rsid w:val="38F663F6"/>
    <w:rsid w:val="390D2B20"/>
    <w:rsid w:val="393B6620"/>
    <w:rsid w:val="3B150C96"/>
    <w:rsid w:val="3C737250"/>
    <w:rsid w:val="3EE7605F"/>
    <w:rsid w:val="3F2C2086"/>
    <w:rsid w:val="40551841"/>
    <w:rsid w:val="42924810"/>
    <w:rsid w:val="42E817AE"/>
    <w:rsid w:val="45A35BE1"/>
    <w:rsid w:val="472E25DC"/>
    <w:rsid w:val="47BF0DFD"/>
    <w:rsid w:val="4DBC5BB8"/>
    <w:rsid w:val="50865068"/>
    <w:rsid w:val="51040473"/>
    <w:rsid w:val="55A078A2"/>
    <w:rsid w:val="5632501F"/>
    <w:rsid w:val="57944680"/>
    <w:rsid w:val="5DC8453F"/>
    <w:rsid w:val="5DF21139"/>
    <w:rsid w:val="5ECA4D07"/>
    <w:rsid w:val="600A4B0A"/>
    <w:rsid w:val="69A0462D"/>
    <w:rsid w:val="6A896703"/>
    <w:rsid w:val="6C1D4609"/>
    <w:rsid w:val="6CD66778"/>
    <w:rsid w:val="6FCD02FE"/>
    <w:rsid w:val="71591CB1"/>
    <w:rsid w:val="742B18DB"/>
    <w:rsid w:val="79562BF6"/>
    <w:rsid w:val="7A135C1E"/>
    <w:rsid w:val="7ADB0E6B"/>
    <w:rsid w:val="7B961C10"/>
    <w:rsid w:val="7E10685A"/>
    <w:rsid w:val="7F873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semiHidden="0" w:name="heading 4"/>
    <w:lsdException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ind w:firstLine="200" w:firstLineChars="200"/>
      <w:jc w:val="both"/>
    </w:pPr>
    <w:rPr>
      <w:rFonts w:ascii="宋体" w:hAnsi="宋体" w:eastAsia="宋体" w:cs="宋体"/>
      <w:color w:val="000000" w:themeColor="text1"/>
      <w:sz w:val="21"/>
      <w:szCs w:val="22"/>
      <w:lang w:val="en-US" w:eastAsia="en-US" w:bidi="en-US"/>
      <w14:textFill>
        <w14:solidFill>
          <w14:schemeClr w14:val="tx1"/>
        </w14:solidFill>
      </w14:textFill>
    </w:rPr>
  </w:style>
  <w:style w:type="paragraph" w:styleId="2">
    <w:name w:val="heading 1"/>
    <w:basedOn w:val="1"/>
    <w:autoRedefine/>
    <w:qFormat/>
    <w:uiPriority w:val="1"/>
    <w:pPr>
      <w:spacing w:before="69"/>
      <w:ind w:firstLine="0" w:firstLineChars="0"/>
      <w:outlineLvl w:val="0"/>
    </w:pPr>
    <w:rPr>
      <w:rFonts w:ascii="黑体" w:hAnsi="黑体" w:eastAsia="黑体" w:cs="黑体"/>
      <w:szCs w:val="32"/>
    </w:rPr>
  </w:style>
  <w:style w:type="paragraph" w:styleId="3">
    <w:name w:val="heading 2"/>
    <w:basedOn w:val="1"/>
    <w:autoRedefine/>
    <w:qFormat/>
    <w:uiPriority w:val="1"/>
    <w:pPr>
      <w:adjustRightInd w:val="0"/>
      <w:snapToGrid w:val="0"/>
      <w:spacing w:before="4" w:line="269" w:lineRule="auto"/>
      <w:ind w:firstLine="0" w:firstLineChars="0"/>
      <w:outlineLvl w:val="1"/>
    </w:pPr>
    <w:rPr>
      <w:rFonts w:ascii="黑体" w:hAnsi="Times New Roman" w:eastAsia="黑体" w:cs="Times New Roman"/>
      <w:szCs w:val="28"/>
      <w:lang w:eastAsia="zh-CN"/>
    </w:rPr>
  </w:style>
  <w:style w:type="paragraph" w:styleId="4">
    <w:name w:val="heading 3"/>
    <w:basedOn w:val="1"/>
    <w:next w:val="1"/>
    <w:autoRedefine/>
    <w:unhideWhenUsed/>
    <w:qFormat/>
    <w:uiPriority w:val="0"/>
    <w:pPr>
      <w:spacing w:before="122"/>
      <w:ind w:firstLine="0" w:firstLineChars="0"/>
      <w:outlineLvl w:val="2"/>
    </w:pPr>
    <w:rPr>
      <w:rFonts w:ascii="黑体" w:eastAsia="黑体" w:cs="Times New Roman"/>
      <w:bCs/>
      <w:szCs w:val="27"/>
      <w:lang w:eastAsia="zh-CN" w:bidi="ar-SA"/>
    </w:rPr>
  </w:style>
  <w:style w:type="paragraph" w:styleId="5">
    <w:name w:val="heading 4"/>
    <w:basedOn w:val="1"/>
    <w:next w:val="1"/>
    <w:unhideWhenUsed/>
    <w:qFormat/>
    <w:uiPriority w:val="0"/>
    <w:pPr>
      <w:spacing w:beforeAutospacing="1" w:afterAutospacing="1"/>
      <w:outlineLvl w:val="3"/>
    </w:pPr>
    <w:rPr>
      <w:rFonts w:hint="eastAsia" w:cs="Times New Roman"/>
      <w:b/>
      <w:bCs/>
      <w:sz w:val="24"/>
      <w:szCs w:val="24"/>
      <w:lang w:eastAsia="zh-CN" w:bidi="ar-SA"/>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autoSpaceDE/>
      <w:autoSpaceDN/>
      <w:spacing w:after="160" w:line="278" w:lineRule="auto"/>
      <w:ind w:left="2520" w:leftChars="1200"/>
    </w:pPr>
    <w:rPr>
      <w:rFonts w:asciiTheme="minorHAnsi" w:hAnsiTheme="minorHAnsi" w:eastAsiaTheme="minorEastAsia" w:cstheme="minorBidi"/>
      <w:kern w:val="2"/>
      <w:szCs w:val="24"/>
      <w:lang w:eastAsia="zh-CN" w:bidi="ar-SA"/>
      <w14:ligatures w14:val="standardContextual"/>
    </w:rPr>
  </w:style>
  <w:style w:type="paragraph" w:styleId="7">
    <w:name w:val="annotation text"/>
    <w:basedOn w:val="1"/>
    <w:qFormat/>
    <w:uiPriority w:val="0"/>
  </w:style>
  <w:style w:type="paragraph" w:styleId="8">
    <w:name w:val="Body Text"/>
    <w:basedOn w:val="1"/>
    <w:link w:val="30"/>
    <w:uiPriority w:val="1"/>
    <w:rPr>
      <w:szCs w:val="21"/>
    </w:rPr>
  </w:style>
  <w:style w:type="paragraph" w:styleId="9">
    <w:name w:val="toc 5"/>
    <w:basedOn w:val="1"/>
    <w:next w:val="1"/>
    <w:autoRedefine/>
    <w:unhideWhenUsed/>
    <w:qFormat/>
    <w:uiPriority w:val="39"/>
    <w:pPr>
      <w:autoSpaceDE/>
      <w:autoSpaceDN/>
      <w:spacing w:after="160" w:line="278" w:lineRule="auto"/>
      <w:ind w:left="1680" w:leftChars="800"/>
    </w:pPr>
    <w:rPr>
      <w:rFonts w:asciiTheme="minorHAnsi" w:hAnsiTheme="minorHAnsi" w:eastAsiaTheme="minorEastAsia" w:cstheme="minorBidi"/>
      <w:kern w:val="2"/>
      <w:szCs w:val="24"/>
      <w:lang w:eastAsia="zh-CN" w:bidi="ar-SA"/>
      <w14:ligatures w14:val="standardContextual"/>
    </w:rPr>
  </w:style>
  <w:style w:type="paragraph" w:styleId="10">
    <w:name w:val="toc 3"/>
    <w:basedOn w:val="1"/>
    <w:next w:val="1"/>
    <w:qFormat/>
    <w:uiPriority w:val="39"/>
    <w:pPr>
      <w:ind w:left="840" w:leftChars="400"/>
    </w:pPr>
  </w:style>
  <w:style w:type="paragraph" w:styleId="11">
    <w:name w:val="toc 8"/>
    <w:basedOn w:val="1"/>
    <w:next w:val="1"/>
    <w:autoRedefine/>
    <w:unhideWhenUsed/>
    <w:qFormat/>
    <w:uiPriority w:val="39"/>
    <w:pPr>
      <w:autoSpaceDE/>
      <w:autoSpaceDN/>
      <w:spacing w:after="160" w:line="278" w:lineRule="auto"/>
      <w:ind w:left="2940" w:leftChars="1400"/>
    </w:pPr>
    <w:rPr>
      <w:rFonts w:asciiTheme="minorHAnsi" w:hAnsiTheme="minorHAnsi" w:eastAsiaTheme="minorEastAsia" w:cstheme="minorBidi"/>
      <w:kern w:val="2"/>
      <w:szCs w:val="24"/>
      <w:lang w:eastAsia="zh-CN" w:bidi="ar-SA"/>
      <w14:ligatures w14:val="standardContextual"/>
    </w:rPr>
  </w:style>
  <w:style w:type="paragraph" w:styleId="12">
    <w:name w:val="Date"/>
    <w:basedOn w:val="1"/>
    <w:next w:val="1"/>
    <w:link w:val="42"/>
    <w:qFormat/>
    <w:uiPriority w:val="0"/>
    <w:pPr>
      <w:ind w:left="100" w:leftChars="2500"/>
    </w:pPr>
  </w:style>
  <w:style w:type="paragraph" w:styleId="13">
    <w:name w:val="footer"/>
    <w:basedOn w:val="1"/>
    <w:link w:val="47"/>
    <w:qFormat/>
    <w:uiPriority w:val="99"/>
    <w:pPr>
      <w:tabs>
        <w:tab w:val="center" w:pos="4153"/>
        <w:tab w:val="right" w:pos="8306"/>
      </w:tabs>
      <w:snapToGrid w:val="0"/>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autoRedefine/>
    <w:qFormat/>
    <w:uiPriority w:val="39"/>
    <w:pPr>
      <w:tabs>
        <w:tab w:val="right" w:leader="dot" w:pos="9920"/>
      </w:tabs>
      <w:spacing w:line="360" w:lineRule="auto"/>
    </w:pPr>
  </w:style>
  <w:style w:type="paragraph" w:styleId="16">
    <w:name w:val="toc 4"/>
    <w:basedOn w:val="1"/>
    <w:next w:val="1"/>
    <w:autoRedefine/>
    <w:unhideWhenUsed/>
    <w:qFormat/>
    <w:uiPriority w:val="39"/>
    <w:pPr>
      <w:autoSpaceDE/>
      <w:autoSpaceDN/>
      <w:spacing w:after="160" w:line="278" w:lineRule="auto"/>
      <w:ind w:left="1260" w:leftChars="600"/>
    </w:pPr>
    <w:rPr>
      <w:rFonts w:asciiTheme="minorHAnsi" w:hAnsiTheme="minorHAnsi" w:eastAsiaTheme="minorEastAsia" w:cstheme="minorBidi"/>
      <w:kern w:val="2"/>
      <w:szCs w:val="24"/>
      <w:lang w:eastAsia="zh-CN" w:bidi="ar-SA"/>
      <w14:ligatures w14:val="standardContextual"/>
    </w:rPr>
  </w:style>
  <w:style w:type="paragraph" w:styleId="17">
    <w:name w:val="Subtitle"/>
    <w:basedOn w:val="1"/>
    <w:next w:val="1"/>
    <w:link w:val="31"/>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8">
    <w:name w:val="toc 6"/>
    <w:basedOn w:val="1"/>
    <w:next w:val="1"/>
    <w:autoRedefine/>
    <w:unhideWhenUsed/>
    <w:qFormat/>
    <w:uiPriority w:val="39"/>
    <w:pPr>
      <w:autoSpaceDE/>
      <w:autoSpaceDN/>
      <w:spacing w:after="160" w:line="278" w:lineRule="auto"/>
      <w:ind w:left="2100" w:leftChars="1000"/>
    </w:pPr>
    <w:rPr>
      <w:rFonts w:asciiTheme="minorHAnsi" w:hAnsiTheme="minorHAnsi" w:eastAsiaTheme="minorEastAsia" w:cstheme="minorBidi"/>
      <w:kern w:val="2"/>
      <w:szCs w:val="24"/>
      <w:lang w:eastAsia="zh-CN" w:bidi="ar-SA"/>
      <w14:ligatures w14:val="standardContextual"/>
    </w:rPr>
  </w:style>
  <w:style w:type="paragraph" w:styleId="19">
    <w:name w:val="toc 2"/>
    <w:basedOn w:val="1"/>
    <w:next w:val="1"/>
    <w:qFormat/>
    <w:uiPriority w:val="39"/>
    <w:pPr>
      <w:ind w:left="420" w:leftChars="200"/>
    </w:pPr>
  </w:style>
  <w:style w:type="paragraph" w:styleId="20">
    <w:name w:val="toc 9"/>
    <w:basedOn w:val="1"/>
    <w:next w:val="1"/>
    <w:autoRedefine/>
    <w:unhideWhenUsed/>
    <w:qFormat/>
    <w:uiPriority w:val="39"/>
    <w:pPr>
      <w:autoSpaceDE/>
      <w:autoSpaceDN/>
      <w:spacing w:after="160" w:line="278" w:lineRule="auto"/>
      <w:ind w:left="3360" w:leftChars="1600"/>
    </w:pPr>
    <w:rPr>
      <w:rFonts w:asciiTheme="minorHAnsi" w:hAnsiTheme="minorHAnsi" w:eastAsiaTheme="minorEastAsia" w:cstheme="minorBidi"/>
      <w:kern w:val="2"/>
      <w:szCs w:val="24"/>
      <w:lang w:eastAsia="zh-CN" w:bidi="ar-SA"/>
      <w14:ligatures w14:val="standardContextual"/>
    </w:rPr>
  </w:style>
  <w:style w:type="paragraph" w:styleId="21">
    <w:name w:val="Title"/>
    <w:basedOn w:val="1"/>
    <w:qFormat/>
    <w:uiPriority w:val="1"/>
    <w:pPr>
      <w:ind w:left="686" w:right="658"/>
      <w:jc w:val="center"/>
    </w:pPr>
    <w:rPr>
      <w:rFonts w:ascii="黑体" w:hAnsi="黑体" w:eastAsia="黑体" w:cs="黑体"/>
      <w:sz w:val="52"/>
      <w:szCs w:val="52"/>
    </w:rPr>
  </w:style>
  <w:style w:type="character" w:styleId="24">
    <w:name w:val="Strong"/>
    <w:basedOn w:val="23"/>
    <w:qFormat/>
    <w:uiPriority w:val="0"/>
    <w:rPr>
      <w:b/>
    </w:rPr>
  </w:style>
  <w:style w:type="character" w:styleId="25">
    <w:name w:val="Hyperlink"/>
    <w:basedOn w:val="23"/>
    <w:qFormat/>
    <w:uiPriority w:val="99"/>
    <w:rPr>
      <w:color w:val="0000FF" w:themeColor="hyperlink"/>
      <w:u w:val="single"/>
      <w14:textFill>
        <w14:solidFill>
          <w14:schemeClr w14:val="hlink"/>
        </w14:solidFill>
      </w14:textFill>
    </w:rPr>
  </w:style>
  <w:style w:type="table" w:customStyle="1" w:styleId="26">
    <w:name w:val="Table Normal"/>
    <w:semiHidden/>
    <w:unhideWhenUsed/>
    <w:qFormat/>
    <w:uiPriority w:val="2"/>
    <w:tblPr>
      <w:tblCellMar>
        <w:top w:w="0" w:type="dxa"/>
        <w:left w:w="0" w:type="dxa"/>
        <w:bottom w:w="0" w:type="dxa"/>
        <w:right w:w="0" w:type="dxa"/>
      </w:tblCellMar>
    </w:tblPr>
  </w:style>
  <w:style w:type="paragraph" w:styleId="27">
    <w:name w:val="List Paragraph"/>
    <w:basedOn w:val="1"/>
    <w:qFormat/>
    <w:uiPriority w:val="1"/>
    <w:pPr>
      <w:spacing w:before="2"/>
      <w:ind w:left="1010" w:hanging="428"/>
    </w:pPr>
  </w:style>
  <w:style w:type="paragraph" w:customStyle="1" w:styleId="28">
    <w:name w:val="Table Paragraph"/>
    <w:basedOn w:val="1"/>
    <w:qFormat/>
    <w:uiPriority w:val="1"/>
  </w:style>
  <w:style w:type="paragraph" w:customStyle="1" w:styleId="29">
    <w:name w:val="Revision"/>
    <w:hidden/>
    <w:unhideWhenUsed/>
    <w:qFormat/>
    <w:uiPriority w:val="99"/>
    <w:rPr>
      <w:rFonts w:ascii="宋体" w:hAnsi="宋体" w:eastAsia="宋体" w:cs="宋体"/>
      <w:sz w:val="22"/>
      <w:szCs w:val="22"/>
      <w:lang w:val="en-US" w:eastAsia="en-US" w:bidi="en-US"/>
    </w:rPr>
  </w:style>
  <w:style w:type="character" w:customStyle="1" w:styleId="30">
    <w:name w:val="正文文本 字符"/>
    <w:basedOn w:val="23"/>
    <w:link w:val="8"/>
    <w:qFormat/>
    <w:uiPriority w:val="1"/>
    <w:rPr>
      <w:rFonts w:ascii="宋体" w:hAnsi="宋体" w:cs="宋体"/>
      <w:sz w:val="21"/>
      <w:szCs w:val="21"/>
      <w:lang w:eastAsia="en-US" w:bidi="en-US"/>
    </w:rPr>
  </w:style>
  <w:style w:type="character" w:customStyle="1" w:styleId="31">
    <w:name w:val="副标题 字符"/>
    <w:basedOn w:val="23"/>
    <w:link w:val="17"/>
    <w:qFormat/>
    <w:uiPriority w:val="0"/>
    <w:rPr>
      <w:rFonts w:asciiTheme="minorHAnsi" w:hAnsiTheme="minorHAnsi" w:eastAsiaTheme="minorEastAsia" w:cstheme="minorBidi"/>
      <w:b/>
      <w:bCs/>
      <w:kern w:val="28"/>
      <w:sz w:val="32"/>
      <w:szCs w:val="32"/>
      <w:lang w:eastAsia="en-US" w:bidi="en-US"/>
    </w:rPr>
  </w:style>
  <w:style w:type="paragraph" w:customStyle="1" w:styleId="32">
    <w:name w:val="标准文件_段"/>
    <w:link w:val="41"/>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标准文件_二级条标题"/>
    <w:next w:val="32"/>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4">
    <w:name w:val="标准文件_三级条标题"/>
    <w:basedOn w:val="33"/>
    <w:next w:val="32"/>
    <w:qFormat/>
    <w:uiPriority w:val="0"/>
    <w:pPr>
      <w:widowControl/>
      <w:outlineLvl w:val="3"/>
    </w:pPr>
  </w:style>
  <w:style w:type="paragraph" w:customStyle="1" w:styleId="35">
    <w:name w:val="标准文件_四级条标题"/>
    <w:next w:val="32"/>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36">
    <w:name w:val="标准文件_五级条标题"/>
    <w:next w:val="32"/>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37">
    <w:name w:val="标准文件_章标题"/>
    <w:next w:val="32"/>
    <w:autoRedefine/>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8">
    <w:name w:val="标准文件_一级条标题"/>
    <w:basedOn w:val="37"/>
    <w:next w:val="32"/>
    <w:autoRedefine/>
    <w:qFormat/>
    <w:uiPriority w:val="0"/>
    <w:pPr>
      <w:spacing w:before="120" w:beforeLines="50" w:after="120" w:afterLines="50"/>
      <w:outlineLvl w:val="1"/>
    </w:pPr>
  </w:style>
  <w:style w:type="paragraph" w:customStyle="1" w:styleId="39">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0">
    <w:name w:val="标准文件_二级无标题"/>
    <w:basedOn w:val="33"/>
    <w:qFormat/>
    <w:uiPriority w:val="0"/>
    <w:pPr>
      <w:spacing w:before="0" w:beforeLines="0" w:after="0" w:afterLines="0"/>
      <w:outlineLvl w:val="9"/>
    </w:pPr>
    <w:rPr>
      <w:rFonts w:ascii="宋体" w:eastAsia="宋体"/>
    </w:rPr>
  </w:style>
  <w:style w:type="character" w:customStyle="1" w:styleId="41">
    <w:name w:val="标准文件_段 Char"/>
    <w:link w:val="32"/>
    <w:qFormat/>
    <w:uiPriority w:val="0"/>
    <w:rPr>
      <w:rFonts w:ascii="宋体"/>
      <w:sz w:val="21"/>
    </w:rPr>
  </w:style>
  <w:style w:type="character" w:customStyle="1" w:styleId="42">
    <w:name w:val="日期 字符"/>
    <w:basedOn w:val="23"/>
    <w:link w:val="12"/>
    <w:qFormat/>
    <w:uiPriority w:val="0"/>
    <w:rPr>
      <w:rFonts w:ascii="宋体" w:hAnsi="宋体" w:cs="宋体"/>
      <w:sz w:val="22"/>
      <w:szCs w:val="22"/>
      <w:lang w:eastAsia="en-US" w:bidi="en-US"/>
    </w:rPr>
  </w:style>
  <w:style w:type="paragraph" w:customStyle="1" w:styleId="43">
    <w:name w:val="标准文件_数字编号列项（二级）"/>
    <w:qFormat/>
    <w:uiPriority w:val="0"/>
    <w:pPr>
      <w:numPr>
        <w:ilvl w:val="1"/>
        <w:numId w:val="1"/>
      </w:numPr>
      <w:jc w:val="both"/>
    </w:pPr>
    <w:rPr>
      <w:rFonts w:ascii="宋体" w:hAnsi="Times New Roman" w:eastAsia="宋体" w:cs="Times New Roman"/>
      <w:sz w:val="21"/>
      <w:lang w:val="en-US" w:eastAsia="zh-CN" w:bidi="ar-SA"/>
    </w:rPr>
  </w:style>
  <w:style w:type="paragraph" w:customStyle="1" w:styleId="44">
    <w:name w:val="标准文件_编号列项（三级）"/>
    <w:qFormat/>
    <w:uiPriority w:val="0"/>
    <w:pPr>
      <w:numPr>
        <w:ilvl w:val="2"/>
        <w:numId w:val="1"/>
      </w:numPr>
    </w:pPr>
    <w:rPr>
      <w:rFonts w:ascii="宋体" w:hAnsi="Times New Roman" w:eastAsia="宋体" w:cs="Times New Roman"/>
      <w:sz w:val="21"/>
      <w:lang w:val="en-US" w:eastAsia="zh-CN" w:bidi="ar-SA"/>
    </w:rPr>
  </w:style>
  <w:style w:type="paragraph" w:customStyle="1" w:styleId="45">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character" w:customStyle="1" w:styleId="46">
    <w:name w:val="Unresolved Mention"/>
    <w:basedOn w:val="23"/>
    <w:semiHidden/>
    <w:unhideWhenUsed/>
    <w:qFormat/>
    <w:uiPriority w:val="99"/>
    <w:rPr>
      <w:color w:val="605E5C"/>
      <w:shd w:val="clear" w:color="auto" w:fill="E1DFDD"/>
    </w:rPr>
  </w:style>
  <w:style w:type="character" w:customStyle="1" w:styleId="47">
    <w:name w:val="页脚 字符"/>
    <w:basedOn w:val="23"/>
    <w:link w:val="13"/>
    <w:qFormat/>
    <w:uiPriority w:val="99"/>
    <w:rPr>
      <w:rFonts w:ascii="宋体" w:hAnsi="宋体" w:cs="宋体"/>
      <w:sz w:val="18"/>
      <w:szCs w:val="22"/>
      <w:lang w:eastAsia="en-US" w:bidi="en-US"/>
    </w:rPr>
  </w:style>
  <w:style w:type="paragraph" w:customStyle="1" w:styleId="48">
    <w:name w:val="TOC Heading"/>
    <w:basedOn w:val="2"/>
    <w:next w:val="1"/>
    <w:unhideWhenUsed/>
    <w:qFormat/>
    <w:uiPriority w:val="39"/>
    <w:pPr>
      <w:keepNext/>
      <w:keepLines/>
      <w:widowControl/>
      <w:autoSpaceDE/>
      <w:autoSpaceDN/>
      <w:spacing w:before="240" w:line="259" w:lineRule="auto"/>
      <w:outlineLvl w:val="9"/>
    </w:pPr>
    <w:rPr>
      <w:rFonts w:asciiTheme="majorHAnsi" w:hAnsiTheme="majorHAnsi" w:eastAsiaTheme="majorEastAsia" w:cstheme="majorBidi"/>
      <w:color w:val="376092" w:themeColor="accent1" w:themeShade="BF"/>
      <w:sz w:val="32"/>
      <w:lang w:eastAsia="zh-CN" w:bidi="ar-SA"/>
    </w:rPr>
  </w:style>
  <w:style w:type="paragraph" w:customStyle="1" w:styleId="49">
    <w:name w:val="标题4"/>
    <w:basedOn w:val="8"/>
    <w:link w:val="50"/>
    <w:qFormat/>
    <w:uiPriority w:val="1"/>
    <w:pPr>
      <w:adjustRightInd w:val="0"/>
      <w:snapToGrid w:val="0"/>
      <w:spacing w:before="122"/>
      <w:ind w:firstLine="0" w:firstLineChars="0"/>
      <w:outlineLvl w:val="3"/>
    </w:pPr>
    <w:rPr>
      <w:spacing w:val="-8"/>
      <w:w w:val="95"/>
      <w:lang w:eastAsia="zh-CN"/>
    </w:rPr>
  </w:style>
  <w:style w:type="character" w:customStyle="1" w:styleId="50">
    <w:name w:val="标题4 字符"/>
    <w:basedOn w:val="30"/>
    <w:link w:val="49"/>
    <w:qFormat/>
    <w:uiPriority w:val="1"/>
    <w:rPr>
      <w:rFonts w:ascii="宋体" w:hAnsi="宋体" w:cs="宋体"/>
      <w:color w:val="000000" w:themeColor="text1"/>
      <w:spacing w:val="-8"/>
      <w:w w:val="95"/>
      <w:sz w:val="21"/>
      <w:szCs w:val="21"/>
      <w:lang w:eastAsia="en-US" w:bidi="en-US"/>
      <w14:textFill>
        <w14:solidFill>
          <w14:schemeClr w14:val="tx1"/>
        </w14:solidFill>
      </w14:textFill>
    </w:rPr>
  </w:style>
  <w:style w:type="paragraph" w:customStyle="1" w:styleId="51">
    <w:name w:val="标准文件_术语条一"/>
    <w:basedOn w:val="1"/>
    <w:next w:val="32"/>
    <w:qFormat/>
    <w:uiPriority w:val="0"/>
    <w:pPr>
      <w:widowControl/>
      <w:autoSpaceDE/>
      <w:autoSpaceDN/>
      <w:ind w:firstLine="0" w:firstLineChars="0"/>
    </w:pPr>
    <w:rPr>
      <w:rFonts w:hAnsi="Times New Roman" w:cs="Times New Roman"/>
      <w:color w:val="auto"/>
      <w:szCs w:val="20"/>
      <w:lang w:eastAsia="zh-CN" w:bidi="ar-SA"/>
    </w:rPr>
  </w:style>
  <w:style w:type="paragraph" w:customStyle="1" w:styleId="52">
    <w:name w:val="标准文件_参考文献标题"/>
    <w:basedOn w:val="1"/>
    <w:next w:val="1"/>
    <w:qFormat/>
    <w:uiPriority w:val="0"/>
    <w:pPr>
      <w:widowControl/>
      <w:shd w:val="clear" w:color="FFFFFF" w:fill="FFFFFF"/>
      <w:autoSpaceDE/>
      <w:autoSpaceDN/>
      <w:spacing w:before="560" w:after="50" w:afterLines="50"/>
      <w:ind w:firstLine="0" w:firstLineChars="0"/>
      <w:jc w:val="center"/>
      <w:outlineLvl w:val="0"/>
    </w:pPr>
    <w:rPr>
      <w:rFonts w:ascii="黑体" w:hAnsi="Calibri" w:eastAsia="黑体" w:cs="Times New Roman"/>
      <w:color w:val="auto"/>
      <w:szCs w:val="21"/>
      <w:lang w:eastAsia="zh-CN" w:bidi="ar-SA"/>
    </w:rPr>
  </w:style>
  <w:style w:type="paragraph" w:customStyle="1" w:styleId="53">
    <w:name w:val="标准文件_前言、引言标题"/>
    <w:next w:val="1"/>
    <w:qFormat/>
    <w:uiPriority w:val="0"/>
    <w:pPr>
      <w:numPr>
        <w:ilvl w:val="0"/>
        <w:numId w:val="1"/>
      </w:numPr>
      <w:shd w:val="clear" w:color="FFFFFF" w:fill="FFFFFF"/>
      <w:tabs>
        <w:tab w:val="clear" w:pos="851"/>
      </w:tabs>
      <w:spacing w:before="480" w:after="150" w:afterLines="150"/>
      <w:ind w:left="425" w:hanging="425"/>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8024605A2284CBEBB395F774208E329"/>
        <w:style w:val=""/>
        <w:category>
          <w:name w:val="常规"/>
          <w:gallery w:val="placeholder"/>
        </w:category>
        <w:types>
          <w:type w:val="bbPlcHdr"/>
        </w:types>
        <w:behaviors>
          <w:behavior w:val="content"/>
        </w:behaviors>
        <w:description w:val=""/>
        <w:guid w:val="{51DFCAA1-7C7B-478D-A15C-D4F9714739E0}"/>
      </w:docPartPr>
      <w:docPartBody>
        <w:p w14:paraId="2EED7C44">
          <w:pPr>
            <w:pStyle w:val="5"/>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2BF"/>
    <w:rsid w:val="000642BF"/>
    <w:rsid w:val="0070678D"/>
    <w:rsid w:val="009D0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8024605A2284CBEBB395F774208E32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24382F-0033-4F97-A4D7-43919308992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10800</Words>
  <Characters>13240</Characters>
  <Lines>492</Lines>
  <Paragraphs>583</Paragraphs>
  <TotalTime>37</TotalTime>
  <ScaleCrop>false</ScaleCrop>
  <LinksUpToDate>false</LinksUpToDate>
  <CharactersWithSpaces>13838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2026-05-05T16:35:00Z</dcterms:created>
  <dc:creator>ZY</dc:creator>
  <cp:lastModifiedBy>张莹</cp:lastModifiedBy>
  <cp:lastPrinted>2025-11-07T00:37:00Z</cp:lastPrinted>
  <dcterms:modified xsi:type="dcterms:W3CDTF">2026-06-02T01:26:14Z</dcterms:modified>
  <dc:title>团体标准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WPS 文字</vt:lpwstr>
  </property>
  <property fmtid="{D5CDD505-2E9C-101B-9397-08002B2CF9AE}" pid="4" name="LastSaved">
    <vt:filetime>2025-08-12T00:00:00Z</vt:filetime>
  </property>
  <property fmtid="{D5CDD505-2E9C-101B-9397-08002B2CF9AE}" pid="5" name="KSOTemplateDocerSaveRecord">
    <vt:lpwstr>eyJoZGlkIjoiODQ3OTc0YWIwOWE5ZTcxZTY3ODFiYTMwNGZmMDdlOTkiLCJ1c2VySWQiOiIyNTU0NTY4OTUifQ==</vt:lpwstr>
  </property>
  <property fmtid="{D5CDD505-2E9C-101B-9397-08002B2CF9AE}" pid="6" name="KSOProductBuildVer">
    <vt:lpwstr>2052-12.1.0.26895</vt:lpwstr>
  </property>
  <property fmtid="{D5CDD505-2E9C-101B-9397-08002B2CF9AE}" pid="7" name="ICV">
    <vt:lpwstr>1F545C533886498EA5C13C7CB1485F83_13</vt:lpwstr>
  </property>
</Properties>
</file>