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07FA0">
      <w:pPr>
        <w:adjustRightInd w:val="0"/>
        <w:snapToGrid w:val="0"/>
        <w:spacing w:line="360" w:lineRule="auto"/>
        <w:rPr>
          <w:rFonts w:hint="eastAsia" w:ascii="仿宋" w:hAnsi="仿宋" w:eastAsia="仿宋"/>
          <w:sz w:val="32"/>
          <w:szCs w:val="32"/>
        </w:rPr>
      </w:pPr>
    </w:p>
    <w:p w14:paraId="50ECD5FF">
      <w:pPr>
        <w:adjustRightInd w:val="0"/>
        <w:snapToGrid w:val="0"/>
        <w:spacing w:line="360" w:lineRule="auto"/>
        <w:jc w:val="center"/>
        <w:rPr>
          <w:rFonts w:hint="eastAsia" w:ascii="仿宋" w:hAnsi="仿宋" w:eastAsia="仿宋"/>
          <w:b/>
          <w:sz w:val="32"/>
          <w:szCs w:val="32"/>
        </w:rPr>
      </w:pPr>
    </w:p>
    <w:p w14:paraId="28DA6C4F">
      <w:pPr>
        <w:adjustRightInd w:val="0"/>
        <w:snapToGrid w:val="0"/>
        <w:spacing w:line="360" w:lineRule="auto"/>
        <w:jc w:val="center"/>
        <w:rPr>
          <w:rFonts w:hint="eastAsia" w:ascii="仿宋" w:hAnsi="仿宋" w:eastAsia="仿宋"/>
          <w:b/>
          <w:sz w:val="32"/>
          <w:szCs w:val="32"/>
        </w:rPr>
      </w:pPr>
    </w:p>
    <w:p w14:paraId="5E79E6EB">
      <w:pPr>
        <w:adjustRightInd w:val="0"/>
        <w:snapToGrid w:val="0"/>
        <w:spacing w:line="360" w:lineRule="auto"/>
        <w:jc w:val="center"/>
        <w:rPr>
          <w:rFonts w:hint="eastAsia" w:ascii="仿宋" w:hAnsi="仿宋" w:eastAsia="仿宋"/>
          <w:b/>
          <w:sz w:val="32"/>
          <w:szCs w:val="32"/>
        </w:rPr>
      </w:pPr>
    </w:p>
    <w:p w14:paraId="6580BA4B">
      <w:pPr>
        <w:adjustRightInd w:val="0"/>
        <w:snapToGrid w:val="0"/>
        <w:spacing w:line="360" w:lineRule="auto"/>
        <w:jc w:val="center"/>
        <w:rPr>
          <w:rFonts w:hint="eastAsia" w:ascii="黑体" w:hAnsi="黑体" w:eastAsia="黑体"/>
          <w:sz w:val="44"/>
          <w:szCs w:val="44"/>
          <w:lang w:val="en-US" w:eastAsia="zh-CN"/>
        </w:rPr>
      </w:pPr>
      <w:bookmarkStart w:id="0" w:name="OLE_LINK2"/>
      <w:r>
        <w:rPr>
          <w:rFonts w:hint="eastAsia" w:ascii="黑体" w:hAnsi="黑体" w:eastAsia="黑体"/>
          <w:sz w:val="44"/>
          <w:szCs w:val="44"/>
          <w:lang w:val="en-US" w:eastAsia="zh-CN"/>
        </w:rPr>
        <w:t>海洋调查设备</w:t>
      </w:r>
      <w:r>
        <w:rPr>
          <w:rFonts w:hint="eastAsia" w:ascii="黑体" w:hAnsi="黑体" w:eastAsia="黑体"/>
          <w:sz w:val="44"/>
          <w:szCs w:val="44"/>
        </w:rPr>
        <w:t>承重头及接线盒</w:t>
      </w:r>
      <w:r>
        <w:rPr>
          <w:rFonts w:hint="eastAsia" w:ascii="黑体" w:hAnsi="黑体" w:eastAsia="黑体"/>
          <w:sz w:val="44"/>
          <w:szCs w:val="44"/>
          <w:lang w:eastAsia="zh-CN"/>
        </w:rPr>
        <w:t>装</w:t>
      </w:r>
      <w:r>
        <w:rPr>
          <w:rFonts w:hint="eastAsia" w:ascii="黑体" w:hAnsi="黑体" w:eastAsia="黑体"/>
          <w:sz w:val="44"/>
          <w:szCs w:val="44"/>
          <w:lang w:val="en-US" w:eastAsia="zh-CN"/>
        </w:rPr>
        <w:t>配</w:t>
      </w:r>
    </w:p>
    <w:p w14:paraId="154E39F4">
      <w:pPr>
        <w:adjustRightInd w:val="0"/>
        <w:snapToGrid w:val="0"/>
        <w:spacing w:line="360" w:lineRule="auto"/>
        <w:jc w:val="center"/>
        <w:rPr>
          <w:rFonts w:hint="eastAsia" w:ascii="黑体" w:hAnsi="黑体" w:eastAsia="黑体"/>
          <w:sz w:val="44"/>
          <w:szCs w:val="44"/>
          <w:lang w:eastAsia="zh-CN"/>
        </w:rPr>
      </w:pPr>
      <w:r>
        <w:rPr>
          <w:rFonts w:hint="eastAsia" w:ascii="黑体" w:hAnsi="黑体" w:eastAsia="黑体"/>
          <w:sz w:val="44"/>
          <w:szCs w:val="44"/>
        </w:rPr>
        <w:t>制作</w:t>
      </w:r>
      <w:r>
        <w:rPr>
          <w:rFonts w:hint="eastAsia" w:ascii="黑体" w:hAnsi="黑体" w:eastAsia="黑体"/>
          <w:sz w:val="44"/>
          <w:szCs w:val="44"/>
          <w:lang w:eastAsia="zh-CN"/>
        </w:rPr>
        <w:t>规范</w:t>
      </w:r>
      <w:bookmarkEnd w:id="0"/>
    </w:p>
    <w:p w14:paraId="65BD2B16">
      <w:pPr>
        <w:adjustRightInd w:val="0"/>
        <w:snapToGrid w:val="0"/>
        <w:spacing w:line="360" w:lineRule="auto"/>
        <w:jc w:val="center"/>
        <w:rPr>
          <w:rFonts w:hint="eastAsia" w:ascii="仿宋" w:hAnsi="仿宋" w:eastAsia="仿宋"/>
          <w:b/>
          <w:sz w:val="36"/>
          <w:szCs w:val="36"/>
        </w:rPr>
      </w:pPr>
      <w:r>
        <w:rPr>
          <w:rFonts w:hint="eastAsia" w:ascii="仿宋" w:hAnsi="仿宋" w:eastAsia="仿宋"/>
          <w:b/>
          <w:sz w:val="36"/>
          <w:szCs w:val="36"/>
        </w:rPr>
        <w:t>编制说明</w:t>
      </w:r>
    </w:p>
    <w:p w14:paraId="252AD8B0">
      <w:pPr>
        <w:adjustRightInd w:val="0"/>
        <w:snapToGrid w:val="0"/>
        <w:spacing w:line="360" w:lineRule="auto"/>
        <w:jc w:val="center"/>
        <w:rPr>
          <w:rFonts w:hint="eastAsia" w:ascii="仿宋" w:hAnsi="仿宋" w:eastAsia="仿宋"/>
          <w:b/>
          <w:sz w:val="32"/>
          <w:szCs w:val="32"/>
        </w:rPr>
      </w:pPr>
    </w:p>
    <w:p w14:paraId="77C7AEC7">
      <w:pPr>
        <w:adjustRightInd w:val="0"/>
        <w:snapToGrid w:val="0"/>
        <w:spacing w:line="360" w:lineRule="auto"/>
        <w:jc w:val="center"/>
        <w:rPr>
          <w:rFonts w:hint="eastAsia" w:ascii="仿宋" w:hAnsi="仿宋" w:eastAsia="仿宋"/>
          <w:b/>
          <w:sz w:val="32"/>
          <w:szCs w:val="32"/>
        </w:rPr>
      </w:pPr>
    </w:p>
    <w:p w14:paraId="4288F623">
      <w:pPr>
        <w:adjustRightInd w:val="0"/>
        <w:snapToGrid w:val="0"/>
        <w:spacing w:line="360" w:lineRule="auto"/>
        <w:jc w:val="center"/>
        <w:rPr>
          <w:rFonts w:hint="eastAsia" w:ascii="仿宋" w:hAnsi="仿宋" w:eastAsia="仿宋"/>
          <w:b/>
          <w:sz w:val="32"/>
          <w:szCs w:val="32"/>
        </w:rPr>
      </w:pPr>
    </w:p>
    <w:p w14:paraId="1B5781A5">
      <w:pPr>
        <w:adjustRightInd w:val="0"/>
        <w:snapToGrid w:val="0"/>
        <w:spacing w:line="360" w:lineRule="auto"/>
        <w:jc w:val="center"/>
        <w:rPr>
          <w:rFonts w:hint="eastAsia" w:ascii="仿宋" w:hAnsi="仿宋" w:eastAsia="仿宋"/>
          <w:b/>
          <w:sz w:val="32"/>
          <w:szCs w:val="32"/>
        </w:rPr>
      </w:pPr>
    </w:p>
    <w:p w14:paraId="0715641F">
      <w:pPr>
        <w:adjustRightInd w:val="0"/>
        <w:snapToGrid w:val="0"/>
        <w:spacing w:line="360" w:lineRule="auto"/>
        <w:jc w:val="center"/>
        <w:rPr>
          <w:rFonts w:hint="eastAsia" w:ascii="仿宋" w:hAnsi="仿宋" w:eastAsia="仿宋"/>
          <w:b/>
          <w:sz w:val="32"/>
          <w:szCs w:val="32"/>
        </w:rPr>
      </w:pPr>
    </w:p>
    <w:p w14:paraId="5AAEB02F">
      <w:pPr>
        <w:adjustRightInd w:val="0"/>
        <w:snapToGrid w:val="0"/>
        <w:spacing w:line="360" w:lineRule="auto"/>
        <w:rPr>
          <w:rFonts w:hint="eastAsia" w:ascii="仿宋" w:hAnsi="仿宋" w:eastAsia="仿宋"/>
          <w:b/>
          <w:sz w:val="32"/>
          <w:szCs w:val="32"/>
        </w:rPr>
      </w:pPr>
    </w:p>
    <w:p w14:paraId="7AA9DA61">
      <w:pPr>
        <w:adjustRightInd w:val="0"/>
        <w:snapToGrid w:val="0"/>
        <w:spacing w:line="360" w:lineRule="auto"/>
        <w:rPr>
          <w:rFonts w:hint="eastAsia" w:ascii="仿宋" w:hAnsi="仿宋" w:eastAsia="仿宋"/>
          <w:b/>
          <w:sz w:val="32"/>
          <w:szCs w:val="32"/>
        </w:rPr>
      </w:pPr>
    </w:p>
    <w:p w14:paraId="612BBD3D">
      <w:pPr>
        <w:adjustRightInd w:val="0"/>
        <w:snapToGrid w:val="0"/>
        <w:spacing w:line="360" w:lineRule="auto"/>
        <w:rPr>
          <w:rFonts w:hint="eastAsia" w:ascii="仿宋" w:hAnsi="仿宋" w:eastAsia="仿宋"/>
          <w:b/>
          <w:sz w:val="32"/>
          <w:szCs w:val="32"/>
        </w:rPr>
      </w:pPr>
    </w:p>
    <w:p w14:paraId="6607ACB1">
      <w:pPr>
        <w:adjustRightInd w:val="0"/>
        <w:snapToGrid w:val="0"/>
        <w:spacing w:line="360" w:lineRule="auto"/>
        <w:rPr>
          <w:rFonts w:hint="eastAsia" w:ascii="仿宋" w:hAnsi="仿宋" w:eastAsia="仿宋"/>
          <w:b/>
          <w:sz w:val="32"/>
          <w:szCs w:val="32"/>
        </w:rPr>
      </w:pPr>
    </w:p>
    <w:p w14:paraId="4F78F2D8">
      <w:pPr>
        <w:adjustRightInd w:val="0"/>
        <w:snapToGrid w:val="0"/>
        <w:spacing w:line="360" w:lineRule="auto"/>
        <w:rPr>
          <w:rFonts w:hint="eastAsia" w:ascii="仿宋" w:hAnsi="仿宋" w:eastAsia="仿宋"/>
          <w:b/>
          <w:sz w:val="32"/>
          <w:szCs w:val="32"/>
        </w:rPr>
      </w:pPr>
    </w:p>
    <w:p w14:paraId="6E091B90">
      <w:pPr>
        <w:adjustRightInd w:val="0"/>
        <w:snapToGrid w:val="0"/>
        <w:spacing w:line="360" w:lineRule="auto"/>
        <w:rPr>
          <w:rFonts w:hint="eastAsia" w:ascii="仿宋" w:hAnsi="仿宋" w:eastAsia="仿宋"/>
          <w:b/>
          <w:sz w:val="32"/>
          <w:szCs w:val="32"/>
        </w:rPr>
      </w:pPr>
    </w:p>
    <w:p w14:paraId="6E734E02">
      <w:pPr>
        <w:adjustRightInd w:val="0"/>
        <w:snapToGrid w:val="0"/>
        <w:spacing w:line="360" w:lineRule="auto"/>
        <w:rPr>
          <w:rFonts w:hint="eastAsia" w:ascii="仿宋" w:hAnsi="仿宋" w:eastAsia="仿宋"/>
          <w:b/>
          <w:sz w:val="32"/>
          <w:szCs w:val="32"/>
        </w:rPr>
      </w:pPr>
    </w:p>
    <w:p w14:paraId="3E866AD9">
      <w:pPr>
        <w:adjustRightInd w:val="0"/>
        <w:snapToGrid w:val="0"/>
        <w:spacing w:line="360" w:lineRule="auto"/>
        <w:jc w:val="center"/>
        <w:rPr>
          <w:rFonts w:hint="eastAsia" w:ascii="仿宋" w:hAnsi="仿宋" w:eastAsia="仿宋"/>
          <w:sz w:val="32"/>
          <w:szCs w:val="32"/>
        </w:rPr>
      </w:pPr>
      <w:r>
        <w:rPr>
          <w:rFonts w:hint="eastAsia" w:ascii="仿宋" w:hAnsi="仿宋" w:eastAsia="仿宋"/>
          <w:sz w:val="32"/>
          <w:szCs w:val="32"/>
        </w:rPr>
        <w:t>自然资源部北海海洋技术中心</w:t>
      </w:r>
    </w:p>
    <w:p w14:paraId="71716CF7">
      <w:pPr>
        <w:adjustRightInd w:val="0"/>
        <w:snapToGrid w:val="0"/>
        <w:spacing w:line="360" w:lineRule="auto"/>
        <w:ind w:firstLine="3200" w:firstLineChars="1000"/>
        <w:rPr>
          <w:rFonts w:hint="eastAsia" w:ascii="仿宋" w:hAnsi="仿宋" w:eastAsia="仿宋"/>
          <w:sz w:val="32"/>
          <w:szCs w:val="32"/>
        </w:rPr>
        <w:sectPr>
          <w:footerReference r:id="rId4" w:type="first"/>
          <w:footerReference r:id="rId3" w:type="default"/>
          <w:pgSz w:w="11906" w:h="16838"/>
          <w:pgMar w:top="1440" w:right="1800" w:bottom="1440" w:left="1800" w:header="851" w:footer="992" w:gutter="0"/>
          <w:cols w:space="425" w:num="1"/>
          <w:docGrid w:type="lines" w:linePitch="312" w:charSpace="0"/>
        </w:sectPr>
      </w:pPr>
      <w:r>
        <w:rPr>
          <w:rFonts w:hint="eastAsia" w:ascii="仿宋" w:hAnsi="仿宋" w:eastAsia="仿宋"/>
          <w:sz w:val="32"/>
          <w:szCs w:val="32"/>
        </w:rPr>
        <w:t>20</w:t>
      </w:r>
      <w:r>
        <w:rPr>
          <w:rFonts w:ascii="仿宋" w:hAnsi="仿宋" w:eastAsia="仿宋"/>
          <w:sz w:val="32"/>
          <w:szCs w:val="32"/>
        </w:rPr>
        <w:t>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val="en-US" w:eastAsia="zh-CN"/>
        </w:rPr>
        <w:t>4</w:t>
      </w:r>
      <w:r>
        <w:rPr>
          <w:rFonts w:hint="eastAsia" w:ascii="仿宋" w:hAnsi="仿宋" w:eastAsia="仿宋"/>
          <w:sz w:val="32"/>
          <w:szCs w:val="32"/>
        </w:rPr>
        <w:t>月</w:t>
      </w:r>
    </w:p>
    <w:p w14:paraId="4BDC69A8">
      <w:pPr>
        <w:adjustRightInd w:val="0"/>
        <w:snapToGrid w:val="0"/>
        <w:spacing w:line="360" w:lineRule="auto"/>
        <w:jc w:val="center"/>
        <w:rPr>
          <w:rFonts w:hint="eastAsia" w:ascii="仿宋" w:hAnsi="仿宋" w:eastAsia="仿宋"/>
          <w:b/>
          <w:sz w:val="36"/>
          <w:szCs w:val="36"/>
        </w:rPr>
      </w:pPr>
      <w:bookmarkStart w:id="1" w:name="_Hlk131515199"/>
      <w:r>
        <w:rPr>
          <w:rFonts w:hint="eastAsia" w:ascii="仿宋" w:hAnsi="仿宋" w:eastAsia="仿宋"/>
          <w:b/>
          <w:sz w:val="36"/>
          <w:szCs w:val="36"/>
        </w:rPr>
        <w:t>《</w:t>
      </w:r>
      <w:r>
        <w:rPr>
          <w:rFonts w:hint="eastAsia" w:ascii="仿宋" w:hAnsi="仿宋" w:eastAsia="仿宋"/>
          <w:b/>
          <w:sz w:val="36"/>
          <w:szCs w:val="36"/>
          <w:lang w:val="en-US" w:eastAsia="zh-CN"/>
        </w:rPr>
        <w:t>海洋调查设备</w:t>
      </w:r>
      <w:r>
        <w:rPr>
          <w:rFonts w:hint="eastAsia" w:ascii="仿宋" w:hAnsi="仿宋" w:eastAsia="仿宋"/>
          <w:b/>
          <w:sz w:val="36"/>
          <w:szCs w:val="36"/>
        </w:rPr>
        <w:t>承重头及接线盒</w:t>
      </w:r>
      <w:r>
        <w:rPr>
          <w:rFonts w:hint="eastAsia" w:ascii="仿宋" w:hAnsi="仿宋" w:eastAsia="仿宋"/>
          <w:b/>
          <w:sz w:val="36"/>
          <w:szCs w:val="36"/>
          <w:lang w:eastAsia="zh-CN"/>
        </w:rPr>
        <w:t>装配</w:t>
      </w:r>
      <w:r>
        <w:rPr>
          <w:rFonts w:hint="eastAsia" w:ascii="仿宋" w:hAnsi="仿宋" w:eastAsia="仿宋"/>
          <w:b/>
          <w:sz w:val="36"/>
          <w:szCs w:val="36"/>
        </w:rPr>
        <w:t>制作</w:t>
      </w:r>
      <w:r>
        <w:rPr>
          <w:rFonts w:hint="eastAsia" w:ascii="仿宋" w:hAnsi="仿宋" w:eastAsia="仿宋"/>
          <w:b/>
          <w:sz w:val="36"/>
          <w:szCs w:val="36"/>
          <w:lang w:eastAsia="zh-CN"/>
        </w:rPr>
        <w:t>规范</w:t>
      </w:r>
      <w:r>
        <w:rPr>
          <w:rFonts w:hint="eastAsia" w:ascii="仿宋" w:hAnsi="仿宋" w:eastAsia="仿宋"/>
          <w:b/>
          <w:sz w:val="36"/>
          <w:szCs w:val="36"/>
        </w:rPr>
        <w:t>》</w:t>
      </w:r>
    </w:p>
    <w:p w14:paraId="276E42DB">
      <w:pPr>
        <w:adjustRightInd w:val="0"/>
        <w:snapToGrid w:val="0"/>
        <w:spacing w:line="360" w:lineRule="auto"/>
        <w:jc w:val="center"/>
        <w:rPr>
          <w:rFonts w:hint="eastAsia" w:ascii="黑体" w:hAnsi="黑体" w:eastAsia="黑体"/>
          <w:sz w:val="44"/>
          <w:szCs w:val="44"/>
        </w:rPr>
      </w:pPr>
      <w:r>
        <w:rPr>
          <w:rFonts w:hint="eastAsia" w:ascii="仿宋" w:hAnsi="仿宋" w:eastAsia="仿宋"/>
          <w:b/>
          <w:sz w:val="36"/>
          <w:szCs w:val="36"/>
        </w:rPr>
        <w:t>编制</w:t>
      </w:r>
      <w:bookmarkEnd w:id="1"/>
      <w:r>
        <w:rPr>
          <w:rFonts w:hint="eastAsia" w:ascii="仿宋" w:hAnsi="仿宋" w:eastAsia="仿宋"/>
          <w:b/>
          <w:sz w:val="36"/>
          <w:szCs w:val="36"/>
        </w:rPr>
        <w:t>说明</w:t>
      </w:r>
    </w:p>
    <w:p w14:paraId="4C07A09A">
      <w:pPr>
        <w:rPr>
          <w:rFonts w:hint="eastAsia" w:ascii="仿宋" w:hAnsi="仿宋" w:eastAsia="仿宋"/>
          <w:sz w:val="32"/>
          <w:szCs w:val="32"/>
        </w:rPr>
      </w:pPr>
    </w:p>
    <w:p w14:paraId="5BA91401">
      <w:p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一、工作简况（包括任务来源、参加单位、主要工作过程、标准主要起草人及其所做的工作等）</w:t>
      </w:r>
    </w:p>
    <w:p w14:paraId="00713EF6">
      <w:pPr>
        <w:adjustRightInd w:val="0"/>
        <w:snapToGrid w:val="0"/>
        <w:ind w:firstLine="643" w:firstLineChars="200"/>
        <w:contextualSpacing/>
        <w:outlineLvl w:val="1"/>
        <w:rPr>
          <w:rFonts w:hint="eastAsia" w:ascii="仿宋" w:hAnsi="仿宋" w:eastAsia="仿宋"/>
          <w:b/>
          <w:sz w:val="32"/>
          <w:szCs w:val="32"/>
        </w:rPr>
      </w:pPr>
      <w:r>
        <w:rPr>
          <w:rFonts w:hint="eastAsia" w:ascii="仿宋" w:hAnsi="仿宋" w:eastAsia="仿宋"/>
          <w:b/>
          <w:sz w:val="32"/>
          <w:szCs w:val="32"/>
        </w:rPr>
        <w:t>（一）任务来源</w:t>
      </w:r>
    </w:p>
    <w:p w14:paraId="56D1D9BA">
      <w:pPr>
        <w:ind w:firstLine="640" w:firstLineChars="200"/>
        <w:rPr>
          <w:rFonts w:hint="eastAsia" w:ascii="仿宋_GB2312" w:hAnsi="宋体" w:eastAsia="仿宋_GB2312"/>
          <w:sz w:val="32"/>
          <w:szCs w:val="28"/>
        </w:rPr>
      </w:pPr>
      <w:r>
        <w:rPr>
          <w:rFonts w:hint="eastAsia" w:ascii="仿宋_GB2312" w:hAnsi="宋体" w:eastAsia="仿宋_GB2312"/>
          <w:sz w:val="32"/>
          <w:szCs w:val="28"/>
        </w:rPr>
        <w:t>为贯彻落实习近平总书记关于安全工作的一系列指示精神，完善海洋行业标准HY/T 0307-2021《海洋安全生产管理标准体系》中涉及海上作业的安全标准，</w:t>
      </w:r>
      <w:r>
        <w:rPr>
          <w:rFonts w:ascii="仿宋_GB2312" w:hAnsi="宋体" w:eastAsia="仿宋_GB2312"/>
          <w:sz w:val="32"/>
          <w:szCs w:val="28"/>
        </w:rPr>
        <w:t>自然资源部北海海洋技术中心</w:t>
      </w:r>
      <w:r>
        <w:rPr>
          <w:rFonts w:hint="eastAsia" w:ascii="仿宋_GB2312" w:hAnsi="宋体" w:eastAsia="仿宋_GB2312"/>
          <w:sz w:val="32"/>
          <w:szCs w:val="28"/>
        </w:rPr>
        <w:t>技术人员在长年承担的大洋深潜技术保障工作中，积累了很多海洋调查装备作业安全与中国海洋科考船舶相适应的宝贵经验，计划梳理</w:t>
      </w:r>
      <w:r>
        <w:rPr>
          <w:rFonts w:hint="eastAsia" w:ascii="仿宋_GB2312" w:hAnsi="宋体" w:eastAsia="仿宋_GB2312"/>
          <w:sz w:val="32"/>
          <w:szCs w:val="28"/>
          <w:lang w:eastAsia="zh-CN"/>
        </w:rPr>
        <w:t>《</w:t>
      </w:r>
      <w:r>
        <w:rPr>
          <w:rFonts w:hint="eastAsia" w:ascii="仿宋_GB2312" w:hAnsi="宋体" w:eastAsia="仿宋_GB2312"/>
          <w:sz w:val="32"/>
          <w:szCs w:val="28"/>
        </w:rPr>
        <w:t>海洋调查设备承重头及接线盒</w:t>
      </w:r>
      <w:r>
        <w:rPr>
          <w:rFonts w:hint="eastAsia" w:ascii="仿宋_GB2312" w:hAnsi="宋体" w:eastAsia="仿宋_GB2312"/>
          <w:sz w:val="32"/>
          <w:szCs w:val="28"/>
          <w:lang w:val="en-US" w:eastAsia="zh-CN"/>
        </w:rPr>
        <w:t>装配</w:t>
      </w:r>
      <w:r>
        <w:rPr>
          <w:rFonts w:hint="eastAsia" w:ascii="仿宋_GB2312" w:hAnsi="宋体" w:eastAsia="仿宋_GB2312"/>
          <w:sz w:val="32"/>
          <w:szCs w:val="28"/>
        </w:rPr>
        <w:t>制作</w:t>
      </w:r>
      <w:r>
        <w:rPr>
          <w:rFonts w:hint="eastAsia" w:ascii="仿宋_GB2312" w:hAnsi="宋体" w:eastAsia="仿宋_GB2312"/>
          <w:sz w:val="32"/>
          <w:szCs w:val="28"/>
          <w:lang w:val="en-US" w:eastAsia="zh-CN"/>
        </w:rPr>
        <w:t>规范</w:t>
      </w:r>
      <w:r>
        <w:rPr>
          <w:rFonts w:hint="eastAsia" w:ascii="仿宋_GB2312" w:hAnsi="宋体" w:eastAsia="仿宋_GB2312"/>
          <w:sz w:val="32"/>
          <w:szCs w:val="28"/>
          <w:lang w:eastAsia="zh-CN"/>
        </w:rPr>
        <w:t>》</w:t>
      </w:r>
      <w:r>
        <w:rPr>
          <w:rFonts w:hint="eastAsia" w:ascii="仿宋_GB2312" w:hAnsi="宋体" w:eastAsia="仿宋_GB2312"/>
          <w:sz w:val="32"/>
          <w:szCs w:val="28"/>
        </w:rPr>
        <w:t>，将其安全作业规程提升到团体标准角度，以加强相关安全作业的管理和实施。</w:t>
      </w:r>
    </w:p>
    <w:p w14:paraId="0DA8895C">
      <w:pPr>
        <w:adjustRightInd w:val="0"/>
        <w:snapToGrid w:val="0"/>
        <w:ind w:firstLine="643" w:firstLineChars="200"/>
        <w:contextualSpacing/>
        <w:outlineLvl w:val="1"/>
        <w:rPr>
          <w:rFonts w:hint="eastAsia" w:ascii="仿宋" w:hAnsi="仿宋" w:eastAsia="仿宋"/>
          <w:b/>
          <w:sz w:val="32"/>
          <w:szCs w:val="32"/>
        </w:rPr>
      </w:pPr>
      <w:r>
        <w:rPr>
          <w:rFonts w:hint="eastAsia" w:ascii="仿宋" w:hAnsi="仿宋" w:eastAsia="仿宋"/>
          <w:b/>
          <w:sz w:val="32"/>
          <w:szCs w:val="32"/>
        </w:rPr>
        <w:t>（二）协作单位</w:t>
      </w:r>
    </w:p>
    <w:p w14:paraId="15AA4DED">
      <w:pPr>
        <w:adjustRightInd w:val="0"/>
        <w:snapToGrid w:val="0"/>
        <w:ind w:firstLine="640" w:firstLineChars="200"/>
        <w:contextualSpacing/>
        <w:outlineLvl w:val="1"/>
        <w:rPr>
          <w:rFonts w:ascii="仿宋_GB2312" w:eastAsia="仿宋_GB2312"/>
          <w:sz w:val="32"/>
        </w:rPr>
      </w:pPr>
      <w:r>
        <w:rPr>
          <w:rFonts w:hint="eastAsia" w:ascii="仿宋_GB2312" w:eastAsia="仿宋_GB2312"/>
          <w:sz w:val="32"/>
        </w:rPr>
        <w:t>国家海洋标准计量中心和自然资源部北海标准计量中心。</w:t>
      </w:r>
    </w:p>
    <w:p w14:paraId="417C4178">
      <w:pPr>
        <w:adjustRightInd w:val="0"/>
        <w:snapToGrid w:val="0"/>
        <w:ind w:firstLine="643" w:firstLineChars="200"/>
        <w:contextualSpacing/>
        <w:outlineLvl w:val="1"/>
        <w:rPr>
          <w:rFonts w:hint="eastAsia" w:ascii="仿宋" w:hAnsi="仿宋" w:eastAsia="仿宋"/>
          <w:b/>
          <w:sz w:val="32"/>
          <w:szCs w:val="32"/>
        </w:rPr>
      </w:pPr>
      <w:r>
        <w:rPr>
          <w:rFonts w:hint="eastAsia" w:ascii="仿宋" w:hAnsi="仿宋" w:eastAsia="仿宋"/>
          <w:b/>
          <w:sz w:val="32"/>
          <w:szCs w:val="32"/>
        </w:rPr>
        <w:t>（三）主要工作过程</w:t>
      </w:r>
    </w:p>
    <w:p w14:paraId="56E87BE9">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（1）预研阶段</w:t>
      </w:r>
    </w:p>
    <w:p w14:paraId="2FE67D9A">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本标准的编制工作从20</w:t>
      </w:r>
      <w:r>
        <w:rPr>
          <w:rFonts w:ascii="仿宋_GB2312" w:hAnsi="宋体" w:eastAsia="仿宋_GB2312" w:cstheme="minorBidi"/>
          <w:sz w:val="32"/>
          <w:szCs w:val="28"/>
        </w:rPr>
        <w:t>2</w:t>
      </w:r>
      <w:r>
        <w:rPr>
          <w:rFonts w:hint="eastAsia" w:ascii="仿宋_GB2312" w:hAnsi="宋体" w:eastAsia="仿宋_GB2312" w:cstheme="minorBidi"/>
          <w:sz w:val="32"/>
          <w:szCs w:val="28"/>
        </w:rPr>
        <w:t>5年</w:t>
      </w:r>
      <w:r>
        <w:rPr>
          <w:rFonts w:ascii="仿宋_GB2312" w:hAnsi="宋体" w:eastAsia="仿宋_GB2312" w:cstheme="minorBidi"/>
          <w:sz w:val="32"/>
          <w:szCs w:val="28"/>
        </w:rPr>
        <w:t>2</w:t>
      </w:r>
      <w:r>
        <w:rPr>
          <w:rFonts w:hint="eastAsia" w:ascii="仿宋_GB2312" w:hAnsi="宋体" w:eastAsia="仿宋_GB2312" w:cstheme="minorBidi"/>
          <w:sz w:val="32"/>
          <w:szCs w:val="28"/>
        </w:rPr>
        <w:t>月开始，由调查技术室具体承担，主要工作过程如下：</w:t>
      </w:r>
    </w:p>
    <w:p w14:paraId="386D3C43">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20</w:t>
      </w:r>
      <w:r>
        <w:rPr>
          <w:rFonts w:ascii="仿宋_GB2312" w:hAnsi="宋体" w:eastAsia="仿宋_GB2312" w:cstheme="minorBidi"/>
          <w:sz w:val="32"/>
          <w:szCs w:val="28"/>
        </w:rPr>
        <w:t>2</w:t>
      </w:r>
      <w:r>
        <w:rPr>
          <w:rFonts w:hint="eastAsia" w:ascii="仿宋_GB2312" w:hAnsi="宋体" w:eastAsia="仿宋_GB2312" w:cstheme="minorBidi"/>
          <w:sz w:val="32"/>
          <w:szCs w:val="28"/>
        </w:rPr>
        <w:t>5年</w:t>
      </w:r>
      <w:r>
        <w:rPr>
          <w:rFonts w:ascii="仿宋_GB2312" w:hAnsi="宋体" w:eastAsia="仿宋_GB2312" w:cstheme="minorBidi"/>
          <w:sz w:val="32"/>
          <w:szCs w:val="28"/>
        </w:rPr>
        <w:t>3</w:t>
      </w:r>
      <w:r>
        <w:rPr>
          <w:rFonts w:hint="eastAsia" w:ascii="仿宋_GB2312" w:hAnsi="宋体" w:eastAsia="仿宋_GB2312" w:cstheme="minorBidi"/>
          <w:sz w:val="32"/>
          <w:szCs w:val="28"/>
        </w:rPr>
        <w:t>月：标准预研究、草稿编制。</w:t>
      </w:r>
    </w:p>
    <w:p w14:paraId="3AA9B820">
      <w:pPr>
        <w:ind w:firstLine="640" w:firstLineChars="200"/>
        <w:rPr>
          <w:rFonts w:hint="eastAsia" w:ascii="仿宋_GB2312" w:hAnsi="宋体" w:eastAsia="仿宋_GB2312" w:cstheme="minorBidi"/>
          <w:sz w:val="32"/>
          <w:szCs w:val="28"/>
        </w:rPr>
      </w:pPr>
      <w:r>
        <w:rPr>
          <w:rFonts w:ascii="仿宋_GB2312" w:hAnsi="宋体" w:eastAsia="仿宋_GB2312" w:cstheme="minorBidi"/>
          <w:sz w:val="32"/>
          <w:szCs w:val="28"/>
        </w:rPr>
        <w:t>202</w:t>
      </w:r>
      <w:r>
        <w:rPr>
          <w:rFonts w:hint="eastAsia" w:ascii="仿宋_GB2312" w:hAnsi="宋体" w:eastAsia="仿宋_GB2312" w:cstheme="minorBidi"/>
          <w:sz w:val="32"/>
          <w:szCs w:val="28"/>
        </w:rPr>
        <w:t>5年</w:t>
      </w:r>
      <w:r>
        <w:rPr>
          <w:rFonts w:ascii="仿宋_GB2312" w:hAnsi="宋体" w:eastAsia="仿宋_GB2312" w:cstheme="minorBidi"/>
          <w:sz w:val="32"/>
          <w:szCs w:val="28"/>
        </w:rPr>
        <w:t>3</w:t>
      </w:r>
      <w:r>
        <w:rPr>
          <w:rFonts w:hint="eastAsia" w:ascii="仿宋_GB2312" w:hAnsi="宋体" w:eastAsia="仿宋_GB2312" w:cstheme="minorBidi"/>
          <w:sz w:val="32"/>
          <w:szCs w:val="28"/>
        </w:rPr>
        <w:t>月3</w:t>
      </w:r>
      <w:r>
        <w:rPr>
          <w:rFonts w:ascii="仿宋_GB2312" w:hAnsi="宋体" w:eastAsia="仿宋_GB2312" w:cstheme="minorBidi"/>
          <w:sz w:val="32"/>
          <w:szCs w:val="28"/>
        </w:rPr>
        <w:t>1</w:t>
      </w:r>
      <w:r>
        <w:rPr>
          <w:rFonts w:hint="eastAsia" w:ascii="仿宋_GB2312" w:hAnsi="宋体" w:eastAsia="仿宋_GB2312" w:cstheme="minorBidi"/>
          <w:sz w:val="32"/>
          <w:szCs w:val="28"/>
        </w:rPr>
        <w:t>日-5月31日：组织讨论修改、形成团标草案、立项申请书、编制说明。</w:t>
      </w:r>
    </w:p>
    <w:p w14:paraId="7519E25F">
      <w:pPr>
        <w:ind w:firstLine="640" w:firstLineChars="200"/>
        <w:rPr>
          <w:rFonts w:hint="eastAsia" w:ascii="仿宋_GB2312" w:hAnsi="宋体" w:eastAsia="仿宋_GB2312" w:cstheme="minorBidi"/>
          <w:sz w:val="32"/>
          <w:szCs w:val="28"/>
        </w:rPr>
      </w:pPr>
      <w:r>
        <w:rPr>
          <w:rFonts w:ascii="仿宋_GB2312" w:hAnsi="宋体" w:eastAsia="仿宋_GB2312" w:cstheme="minorBidi"/>
          <w:sz w:val="32"/>
          <w:szCs w:val="28"/>
        </w:rPr>
        <w:t>202</w:t>
      </w:r>
      <w:r>
        <w:rPr>
          <w:rFonts w:hint="eastAsia" w:ascii="仿宋_GB2312" w:hAnsi="宋体" w:eastAsia="仿宋_GB2312" w:cstheme="minorBidi"/>
          <w:sz w:val="32"/>
          <w:szCs w:val="28"/>
        </w:rPr>
        <w:t>5年</w:t>
      </w:r>
      <w:r>
        <w:rPr>
          <w:rFonts w:hint="eastAsia" w:ascii="仿宋_GB2312" w:hAnsi="宋体" w:eastAsia="仿宋_GB2312" w:cstheme="minorBidi"/>
          <w:sz w:val="32"/>
          <w:szCs w:val="28"/>
          <w:lang w:val="en-US" w:eastAsia="zh-CN"/>
        </w:rPr>
        <w:t>6</w:t>
      </w:r>
      <w:r>
        <w:rPr>
          <w:rFonts w:hint="eastAsia" w:ascii="仿宋_GB2312" w:hAnsi="宋体" w:eastAsia="仿宋_GB2312" w:cstheme="minorBidi"/>
          <w:sz w:val="32"/>
          <w:szCs w:val="28"/>
        </w:rPr>
        <w:t>月</w:t>
      </w:r>
      <w:r>
        <w:rPr>
          <w:rFonts w:ascii="仿宋_GB2312" w:hAnsi="宋体" w:eastAsia="仿宋_GB2312" w:cstheme="minorBidi"/>
          <w:sz w:val="32"/>
          <w:szCs w:val="28"/>
        </w:rPr>
        <w:t>1</w:t>
      </w:r>
      <w:r>
        <w:rPr>
          <w:rFonts w:hint="eastAsia" w:ascii="仿宋_GB2312" w:hAnsi="宋体" w:eastAsia="仿宋_GB2312" w:cstheme="minorBidi"/>
          <w:sz w:val="32"/>
          <w:szCs w:val="28"/>
        </w:rPr>
        <w:t>日-</w:t>
      </w:r>
      <w:r>
        <w:rPr>
          <w:rFonts w:hint="eastAsia" w:ascii="仿宋_GB2312" w:hAnsi="宋体" w:eastAsia="仿宋_GB2312" w:cstheme="minorBidi"/>
          <w:sz w:val="32"/>
          <w:szCs w:val="28"/>
          <w:lang w:val="en-US" w:eastAsia="zh-CN"/>
        </w:rPr>
        <w:t>2026年4</w:t>
      </w:r>
      <w:r>
        <w:rPr>
          <w:rFonts w:hint="eastAsia" w:ascii="仿宋_GB2312" w:hAnsi="宋体" w:eastAsia="仿宋_GB2312" w:cstheme="minorBidi"/>
          <w:sz w:val="32"/>
          <w:szCs w:val="28"/>
        </w:rPr>
        <w:t>月</w:t>
      </w:r>
      <w:r>
        <w:rPr>
          <w:rFonts w:hint="eastAsia" w:ascii="仿宋_GB2312" w:hAnsi="宋体" w:eastAsia="仿宋_GB2312" w:cstheme="minorBidi"/>
          <w:sz w:val="32"/>
          <w:szCs w:val="28"/>
          <w:lang w:val="en-US" w:eastAsia="zh-CN"/>
        </w:rPr>
        <w:t>30</w:t>
      </w:r>
      <w:bookmarkStart w:id="3" w:name="_GoBack"/>
      <w:bookmarkEnd w:id="3"/>
      <w:r>
        <w:rPr>
          <w:rFonts w:hint="eastAsia" w:ascii="仿宋_GB2312" w:hAnsi="宋体" w:eastAsia="仿宋_GB2312" w:cstheme="minorBidi"/>
          <w:sz w:val="32"/>
          <w:szCs w:val="28"/>
        </w:rPr>
        <w:t>日：</w:t>
      </w:r>
      <w:r>
        <w:rPr>
          <w:rFonts w:hint="eastAsia" w:ascii="仿宋_GB2312" w:hAnsi="宋体" w:eastAsia="仿宋_GB2312" w:cstheme="minorBidi"/>
          <w:sz w:val="32"/>
          <w:szCs w:val="28"/>
          <w:lang w:val="en-US" w:eastAsia="zh-CN"/>
        </w:rPr>
        <w:t>根据立项审查意见进行修改</w:t>
      </w:r>
      <w:r>
        <w:rPr>
          <w:rFonts w:hint="eastAsia" w:ascii="仿宋_GB2312" w:hAnsi="宋体" w:eastAsia="仿宋_GB2312" w:cstheme="minorBidi"/>
          <w:sz w:val="32"/>
          <w:szCs w:val="28"/>
        </w:rPr>
        <w:t>。</w:t>
      </w:r>
    </w:p>
    <w:p w14:paraId="0F4DCC79">
      <w:pPr>
        <w:adjustRightInd w:val="0"/>
        <w:snapToGrid w:val="0"/>
        <w:ind w:firstLine="643" w:firstLineChars="200"/>
        <w:contextualSpacing/>
        <w:outlineLvl w:val="1"/>
        <w:rPr>
          <w:rFonts w:hint="eastAsia" w:ascii="仿宋" w:hAnsi="仿宋" w:eastAsia="仿宋"/>
          <w:b/>
          <w:sz w:val="32"/>
          <w:szCs w:val="32"/>
        </w:rPr>
      </w:pPr>
      <w:r>
        <w:rPr>
          <w:rFonts w:hint="eastAsia" w:ascii="仿宋" w:hAnsi="仿宋" w:eastAsia="仿宋"/>
          <w:b/>
          <w:sz w:val="32"/>
          <w:szCs w:val="32"/>
        </w:rPr>
        <w:t>（四）标准主要起草人及其所做的工作</w:t>
      </w:r>
    </w:p>
    <w:p w14:paraId="36A9FAE0">
      <w:pPr>
        <w:ind w:firstLine="640" w:firstLineChars="200"/>
        <w:rPr>
          <w:rFonts w:hint="eastAsia" w:ascii="仿宋_GB2312" w:hAnsi="宋体" w:eastAsia="仿宋_GB2312" w:cstheme="minorBidi"/>
          <w:sz w:val="32"/>
          <w:szCs w:val="28"/>
        </w:rPr>
      </w:pPr>
      <w:bookmarkStart w:id="2" w:name="_Hlk199928692"/>
      <w:r>
        <w:rPr>
          <w:rFonts w:hint="eastAsia" w:ascii="仿宋_GB2312" w:hAnsi="宋体" w:eastAsia="仿宋_GB2312" w:cstheme="minorBidi"/>
          <w:sz w:val="32"/>
          <w:szCs w:val="28"/>
        </w:rPr>
        <w:t>严晋：工程师，</w:t>
      </w:r>
      <w:r>
        <w:rPr>
          <w:rFonts w:hint="eastAsia" w:ascii="仿宋_GB2312" w:eastAsia="仿宋_GB2312"/>
          <w:color w:val="0D0D0D"/>
          <w:sz w:val="32"/>
        </w:rPr>
        <w:t>负责本标准总体框架的确定，负责本标准正文和编制说明的具体编写及修改。</w:t>
      </w:r>
    </w:p>
    <w:p w14:paraId="320A30B4">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张丽婷：正高级工程师，负责规程体系审核。</w:t>
      </w:r>
    </w:p>
    <w:p w14:paraId="4BFB2E40">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任峰：高级工程师，</w:t>
      </w:r>
      <w:r>
        <w:rPr>
          <w:rFonts w:hint="eastAsia" w:ascii="仿宋_GB2312" w:eastAsia="仿宋_GB2312"/>
          <w:color w:val="0D0D0D"/>
          <w:sz w:val="32"/>
        </w:rPr>
        <w:t>负责标准的标准化修改，参与标准编制说明的编写</w:t>
      </w:r>
      <w:r>
        <w:rPr>
          <w:rFonts w:hint="eastAsia" w:ascii="仿宋_GB2312" w:hAnsi="宋体" w:eastAsia="仿宋_GB2312" w:cstheme="minorBidi"/>
          <w:sz w:val="32"/>
          <w:szCs w:val="28"/>
        </w:rPr>
        <w:t>。</w:t>
      </w:r>
    </w:p>
    <w:p w14:paraId="7E2A2450">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马治忠：</w:t>
      </w:r>
      <w:r>
        <w:rPr>
          <w:rFonts w:hint="eastAsia" w:ascii="仿宋_GB2312" w:eastAsia="仿宋_GB2312"/>
          <w:sz w:val="32"/>
        </w:rPr>
        <w:t>参与标准意见的汇总及征求意见单位的联系工作。</w:t>
      </w:r>
    </w:p>
    <w:p w14:paraId="31C013D0">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王友亮：高级工程师，参与标准编制研讨，并参加应用服务收集整理。</w:t>
      </w:r>
    </w:p>
    <w:p w14:paraId="30C4EB0E">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孙元宏：高级工程师，</w:t>
      </w:r>
      <w:r>
        <w:rPr>
          <w:rFonts w:hint="eastAsia" w:ascii="仿宋_GB2312" w:eastAsia="仿宋_GB2312"/>
          <w:sz w:val="32"/>
        </w:rPr>
        <w:t>参与标准细则的完善。</w:t>
      </w:r>
    </w:p>
    <w:p w14:paraId="0D7A3F6C">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曾现敏：高级工程师，</w:t>
      </w:r>
      <w:r>
        <w:rPr>
          <w:rFonts w:hint="eastAsia" w:ascii="仿宋_GB2312" w:eastAsia="仿宋_GB2312"/>
          <w:sz w:val="32"/>
        </w:rPr>
        <w:t>参与标准格式、版面的整体检查及排版。</w:t>
      </w:r>
    </w:p>
    <w:p w14:paraId="25DFC2B7">
      <w:pPr>
        <w:spacing w:line="360" w:lineRule="auto"/>
        <w:ind w:firstLine="640" w:firstLineChars="200"/>
        <w:rPr>
          <w:rFonts w:ascii="仿宋_GB2312" w:eastAsia="仿宋_GB2312"/>
          <w:sz w:val="32"/>
        </w:rPr>
      </w:pPr>
      <w:r>
        <w:rPr>
          <w:rFonts w:hint="eastAsia" w:ascii="仿宋_GB2312" w:eastAsia="仿宋_GB2312"/>
          <w:sz w:val="32"/>
        </w:rPr>
        <w:t>徐栋：</w:t>
      </w:r>
      <w:r>
        <w:rPr>
          <w:rFonts w:hint="eastAsia" w:ascii="仿宋_GB2312" w:hAnsi="宋体" w:eastAsia="仿宋_GB2312" w:cstheme="minorBidi"/>
          <w:sz w:val="32"/>
          <w:szCs w:val="28"/>
        </w:rPr>
        <w:t>工程师，</w:t>
      </w:r>
      <w:r>
        <w:rPr>
          <w:rFonts w:hint="eastAsia" w:ascii="仿宋_GB2312" w:eastAsia="仿宋_GB2312"/>
          <w:sz w:val="32"/>
        </w:rPr>
        <w:t>参与提出标准的修改意见。</w:t>
      </w:r>
    </w:p>
    <w:p w14:paraId="143DADF7">
      <w:pPr>
        <w:spacing w:line="360" w:lineRule="auto"/>
        <w:ind w:firstLine="640" w:firstLineChars="200"/>
        <w:rPr>
          <w:rFonts w:ascii="仿宋_GB2312" w:eastAsia="仿宋_GB2312"/>
          <w:sz w:val="32"/>
        </w:rPr>
      </w:pPr>
      <w:r>
        <w:rPr>
          <w:rFonts w:hint="eastAsia" w:ascii="仿宋_GB2312" w:eastAsia="仿宋_GB2312"/>
          <w:sz w:val="32"/>
        </w:rPr>
        <w:t>周寅：</w:t>
      </w:r>
      <w:r>
        <w:rPr>
          <w:rFonts w:hint="eastAsia" w:ascii="仿宋_GB2312" w:hAnsi="宋体" w:eastAsia="仿宋_GB2312" w:cstheme="minorBidi"/>
          <w:sz w:val="32"/>
          <w:szCs w:val="28"/>
        </w:rPr>
        <w:t>工程师，</w:t>
      </w:r>
      <w:r>
        <w:rPr>
          <w:rFonts w:hint="eastAsia" w:ascii="仿宋_GB2312" w:eastAsia="仿宋_GB2312"/>
          <w:sz w:val="32"/>
        </w:rPr>
        <w:t>参与标准各个阶段会议组织及检查工作。</w:t>
      </w:r>
    </w:p>
    <w:p w14:paraId="1D479B26">
      <w:pPr>
        <w:spacing w:line="360" w:lineRule="auto"/>
        <w:ind w:firstLine="640" w:firstLineChars="200"/>
        <w:rPr>
          <w:rFonts w:ascii="仿宋_GB2312" w:eastAsia="仿宋_GB2312"/>
          <w:sz w:val="32"/>
        </w:rPr>
      </w:pPr>
      <w:r>
        <w:rPr>
          <w:rFonts w:hint="eastAsia" w:ascii="仿宋_GB2312" w:eastAsia="仿宋_GB2312"/>
          <w:sz w:val="32"/>
        </w:rPr>
        <w:t>孟涛：高级</w:t>
      </w:r>
      <w:r>
        <w:rPr>
          <w:rFonts w:hint="eastAsia" w:ascii="仿宋_GB2312" w:hAnsi="宋体" w:eastAsia="仿宋_GB2312" w:cstheme="minorBidi"/>
          <w:sz w:val="32"/>
          <w:szCs w:val="28"/>
        </w:rPr>
        <w:t>工程师，</w:t>
      </w:r>
      <w:r>
        <w:rPr>
          <w:rFonts w:hint="eastAsia" w:ascii="仿宋_GB2312" w:eastAsia="仿宋_GB2312"/>
          <w:sz w:val="32"/>
        </w:rPr>
        <w:t>参与标准内容的完善修改。</w:t>
      </w:r>
    </w:p>
    <w:p w14:paraId="2D2F4B87">
      <w:pPr>
        <w:spacing w:line="360" w:lineRule="auto"/>
        <w:ind w:firstLine="640" w:firstLineChars="200"/>
        <w:rPr>
          <w:rFonts w:ascii="仿宋_GB2312" w:eastAsia="仿宋_GB2312"/>
          <w:sz w:val="32"/>
        </w:rPr>
      </w:pPr>
      <w:r>
        <w:rPr>
          <w:rFonts w:hint="eastAsia" w:ascii="仿宋_GB2312" w:eastAsia="仿宋_GB2312"/>
          <w:sz w:val="32"/>
        </w:rPr>
        <w:t>孟祥恩：</w:t>
      </w:r>
      <w:r>
        <w:rPr>
          <w:rFonts w:hint="eastAsia" w:ascii="仿宋_GB2312" w:hAnsi="宋体" w:eastAsia="仿宋_GB2312" w:cstheme="minorBidi"/>
          <w:sz w:val="32"/>
          <w:szCs w:val="28"/>
        </w:rPr>
        <w:t>工程师，</w:t>
      </w:r>
      <w:r>
        <w:rPr>
          <w:rFonts w:hint="eastAsia" w:ascii="仿宋_GB2312" w:eastAsia="仿宋_GB2312"/>
          <w:sz w:val="32"/>
        </w:rPr>
        <w:t>参与标准具体内容的错误检查。</w:t>
      </w:r>
    </w:p>
    <w:p w14:paraId="0A71323E">
      <w:pPr>
        <w:spacing w:line="360" w:lineRule="auto"/>
        <w:ind w:firstLine="640" w:firstLineChars="200"/>
        <w:rPr>
          <w:rFonts w:ascii="仿宋_GB2312" w:eastAsia="仿宋_GB2312"/>
          <w:sz w:val="32"/>
        </w:rPr>
      </w:pPr>
      <w:r>
        <w:rPr>
          <w:rFonts w:hint="eastAsia" w:ascii="仿宋_GB2312" w:eastAsia="仿宋_GB2312"/>
          <w:sz w:val="32"/>
        </w:rPr>
        <w:t>王瀚宇：</w:t>
      </w:r>
      <w:r>
        <w:rPr>
          <w:rFonts w:hint="eastAsia" w:ascii="仿宋_GB2312" w:hAnsi="宋体" w:eastAsia="仿宋_GB2312" w:cstheme="minorBidi"/>
          <w:sz w:val="32"/>
          <w:szCs w:val="28"/>
        </w:rPr>
        <w:t>工程师，</w:t>
      </w:r>
      <w:r>
        <w:rPr>
          <w:rFonts w:hint="eastAsia" w:ascii="仿宋_GB2312" w:eastAsia="仿宋_GB2312"/>
          <w:sz w:val="32"/>
        </w:rPr>
        <w:t>参与标准的资料汇总及其他工作。</w:t>
      </w:r>
    </w:p>
    <w:p w14:paraId="0659C3FA">
      <w:pPr>
        <w:spacing w:line="360" w:lineRule="auto"/>
        <w:ind w:firstLine="640" w:firstLineChars="200"/>
        <w:rPr>
          <w:rFonts w:ascii="仿宋_GB2312" w:eastAsia="仿宋_GB2312"/>
          <w:sz w:val="32"/>
        </w:rPr>
      </w:pPr>
      <w:r>
        <w:rPr>
          <w:rFonts w:hint="eastAsia" w:ascii="仿宋_GB2312" w:eastAsia="仿宋_GB2312"/>
          <w:sz w:val="32"/>
        </w:rPr>
        <w:t>（国家海洋标准计量中心，人员自定）：参与查找参考文献。</w:t>
      </w:r>
    </w:p>
    <w:p w14:paraId="3CBFFB87">
      <w:pPr>
        <w:spacing w:line="360" w:lineRule="auto"/>
        <w:ind w:firstLine="640" w:firstLineChars="200"/>
        <w:rPr>
          <w:rFonts w:ascii="仿宋_GB2312" w:eastAsia="仿宋_GB2312"/>
          <w:sz w:val="32"/>
        </w:rPr>
      </w:pPr>
      <w:r>
        <w:rPr>
          <w:rFonts w:hint="eastAsia" w:ascii="仿宋_GB2312" w:eastAsia="仿宋_GB2312"/>
          <w:sz w:val="32"/>
        </w:rPr>
        <w:t>（北海计量中心，人员自定）：参与标准文字修订和标准语言规范的应用。</w:t>
      </w:r>
    </w:p>
    <w:bookmarkEnd w:id="2"/>
    <w:p w14:paraId="611B1EC2">
      <w:p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二、确定团体学会标准主要技术内容</w:t>
      </w:r>
    </w:p>
    <w:p w14:paraId="6877E652">
      <w:pPr>
        <w:adjustRightInd w:val="0"/>
        <w:snapToGrid w:val="0"/>
        <w:ind w:firstLine="643" w:firstLineChars="200"/>
        <w:contextualSpacing/>
        <w:outlineLvl w:val="1"/>
        <w:rPr>
          <w:rFonts w:hint="eastAsia" w:ascii="仿宋" w:hAnsi="仿宋" w:eastAsia="仿宋"/>
          <w:b/>
          <w:sz w:val="32"/>
          <w:szCs w:val="32"/>
        </w:rPr>
      </w:pPr>
      <w:r>
        <w:rPr>
          <w:rFonts w:hint="eastAsia" w:ascii="仿宋" w:hAnsi="仿宋" w:eastAsia="仿宋"/>
          <w:b/>
          <w:sz w:val="32"/>
          <w:szCs w:val="32"/>
        </w:rPr>
        <w:t>（一）规程的编制原则</w:t>
      </w:r>
    </w:p>
    <w:p w14:paraId="5ACBBC91">
      <w:pPr>
        <w:ind w:firstLine="640" w:firstLineChars="200"/>
        <w:rPr>
          <w:rFonts w:hint="eastAsia" w:ascii="仿宋_GB2312" w:hAnsi="宋体" w:eastAsia="仿宋_GB2312" w:cstheme="minorBidi"/>
          <w:sz w:val="32"/>
          <w:szCs w:val="28"/>
        </w:rPr>
      </w:pPr>
      <w:r>
        <w:rPr>
          <w:rFonts w:ascii="仿宋_GB2312" w:hAnsi="宋体" w:eastAsia="仿宋_GB2312" w:cstheme="minorBidi"/>
          <w:sz w:val="32"/>
          <w:szCs w:val="28"/>
        </w:rPr>
        <w:t>本</w:t>
      </w:r>
      <w:r>
        <w:rPr>
          <w:rFonts w:hint="eastAsia" w:ascii="仿宋_GB2312" w:hAnsi="宋体" w:eastAsia="仿宋_GB2312" w:cstheme="minorBidi"/>
          <w:sz w:val="32"/>
          <w:szCs w:val="28"/>
        </w:rPr>
        <w:t>规程</w:t>
      </w:r>
      <w:r>
        <w:rPr>
          <w:rFonts w:ascii="仿宋_GB2312" w:hAnsi="宋体" w:eastAsia="仿宋_GB2312" w:cstheme="minorBidi"/>
          <w:sz w:val="32"/>
          <w:szCs w:val="28"/>
        </w:rPr>
        <w:t>遵循系统性</w:t>
      </w:r>
      <w:r>
        <w:rPr>
          <w:rFonts w:hint="eastAsia" w:ascii="仿宋_GB2312" w:hAnsi="宋体" w:eastAsia="仿宋_GB2312" w:cstheme="minorBidi"/>
          <w:sz w:val="32"/>
          <w:szCs w:val="28"/>
        </w:rPr>
        <w:t>、指导性</w:t>
      </w:r>
      <w:r>
        <w:rPr>
          <w:rFonts w:ascii="仿宋_GB2312" w:hAnsi="宋体" w:eastAsia="仿宋_GB2312" w:cstheme="minorBidi"/>
          <w:sz w:val="32"/>
          <w:szCs w:val="28"/>
        </w:rPr>
        <w:t>和</w:t>
      </w:r>
      <w:r>
        <w:rPr>
          <w:rFonts w:hint="eastAsia" w:ascii="仿宋_GB2312" w:hAnsi="宋体" w:eastAsia="仿宋_GB2312" w:cstheme="minorBidi"/>
          <w:sz w:val="32"/>
          <w:szCs w:val="28"/>
        </w:rPr>
        <w:t>规范性</w:t>
      </w:r>
      <w:r>
        <w:rPr>
          <w:rFonts w:ascii="仿宋_GB2312" w:hAnsi="宋体" w:eastAsia="仿宋_GB2312" w:cstheme="minorBidi"/>
          <w:sz w:val="32"/>
          <w:szCs w:val="28"/>
        </w:rPr>
        <w:t>原则，与国家现行的法律法规、部门规范性文件以及相关资料整编技术规程相衔接，在确保体系完整的前提下，充分考虑标准的继承性、实用性</w:t>
      </w:r>
      <w:r>
        <w:rPr>
          <w:rFonts w:hint="eastAsia" w:ascii="仿宋_GB2312" w:hAnsi="宋体" w:eastAsia="仿宋_GB2312" w:cstheme="minorBidi"/>
          <w:sz w:val="32"/>
          <w:szCs w:val="28"/>
        </w:rPr>
        <w:t>、前瞻性</w:t>
      </w:r>
      <w:r>
        <w:rPr>
          <w:rFonts w:ascii="仿宋_GB2312" w:hAnsi="宋体" w:eastAsia="仿宋_GB2312" w:cstheme="minorBidi"/>
          <w:sz w:val="32"/>
          <w:szCs w:val="28"/>
        </w:rPr>
        <w:t>和可操作性。</w:t>
      </w:r>
    </w:p>
    <w:p w14:paraId="550DEC47">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系统</w:t>
      </w:r>
      <w:r>
        <w:rPr>
          <w:rFonts w:ascii="仿宋_GB2312" w:hAnsi="宋体" w:eastAsia="仿宋_GB2312" w:cstheme="minorBidi"/>
          <w:sz w:val="32"/>
          <w:szCs w:val="28"/>
        </w:rPr>
        <w:t>性原则：</w:t>
      </w:r>
      <w:r>
        <w:rPr>
          <w:rFonts w:hint="eastAsia" w:ascii="仿宋_GB2312" w:hAnsi="宋体" w:eastAsia="仿宋_GB2312" w:cstheme="minorBidi"/>
          <w:sz w:val="32"/>
          <w:szCs w:val="28"/>
        </w:rPr>
        <w:t>规程</w:t>
      </w:r>
      <w:r>
        <w:rPr>
          <w:rFonts w:ascii="仿宋_GB2312" w:hAnsi="宋体" w:eastAsia="仿宋_GB2312" w:cstheme="minorBidi"/>
          <w:sz w:val="32"/>
          <w:szCs w:val="28"/>
        </w:rPr>
        <w:t>围绕</w:t>
      </w:r>
      <w:r>
        <w:rPr>
          <w:rFonts w:hint="eastAsia" w:ascii="仿宋_GB2312" w:hAnsi="宋体" w:eastAsia="仿宋_GB2312" w:cstheme="minorBidi"/>
          <w:sz w:val="32"/>
          <w:szCs w:val="28"/>
        </w:rPr>
        <w:t>海洋外业调查体系</w:t>
      </w:r>
      <w:r>
        <w:rPr>
          <w:rFonts w:ascii="仿宋_GB2312" w:hAnsi="宋体" w:eastAsia="仿宋_GB2312" w:cstheme="minorBidi"/>
          <w:sz w:val="32"/>
          <w:szCs w:val="28"/>
        </w:rPr>
        <w:t>的内容完整、技术规范科学合理的原则，按照基础通用标准、</w:t>
      </w:r>
      <w:r>
        <w:rPr>
          <w:rFonts w:hint="eastAsia" w:ascii="仿宋_GB2312" w:hAnsi="宋体" w:eastAsia="仿宋_GB2312" w:cstheme="minorBidi"/>
          <w:sz w:val="32"/>
          <w:szCs w:val="28"/>
        </w:rPr>
        <w:t>海洋环境安全数据、业务、应用</w:t>
      </w:r>
      <w:r>
        <w:rPr>
          <w:rFonts w:ascii="仿宋_GB2312" w:hAnsi="宋体" w:eastAsia="仿宋_GB2312" w:cstheme="minorBidi"/>
          <w:sz w:val="32"/>
          <w:szCs w:val="28"/>
        </w:rPr>
        <w:t>等分别开展相关具体内容的编制。</w:t>
      </w:r>
    </w:p>
    <w:p w14:paraId="122E4553">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指导</w:t>
      </w:r>
      <w:r>
        <w:rPr>
          <w:rFonts w:ascii="仿宋_GB2312" w:hAnsi="宋体" w:eastAsia="仿宋_GB2312" w:cstheme="minorBidi"/>
          <w:sz w:val="32"/>
          <w:szCs w:val="28"/>
        </w:rPr>
        <w:t>性原则：在已发布实施的GB/T 13016－2018《</w:t>
      </w:r>
      <w:r>
        <w:rPr>
          <w:rFonts w:hint="eastAsia" w:ascii="仿宋_GB2312" w:hAnsi="宋体" w:eastAsia="仿宋_GB2312" w:cstheme="minorBidi"/>
          <w:sz w:val="32"/>
          <w:szCs w:val="28"/>
        </w:rPr>
        <w:t>标准体系构建原则和要求</w:t>
      </w:r>
      <w:r>
        <w:rPr>
          <w:rFonts w:ascii="仿宋_GB2312" w:hAnsi="宋体" w:eastAsia="仿宋_GB2312" w:cstheme="minorBidi"/>
          <w:sz w:val="32"/>
          <w:szCs w:val="28"/>
        </w:rPr>
        <w:t>》和《</w:t>
      </w:r>
      <w:r>
        <w:rPr>
          <w:rFonts w:hint="eastAsia" w:ascii="仿宋_GB2312" w:hAnsi="宋体" w:eastAsia="仿宋_GB2312" w:cstheme="minorBidi"/>
          <w:sz w:val="32"/>
          <w:szCs w:val="28"/>
        </w:rPr>
        <w:t>海洋标准体系</w:t>
      </w:r>
      <w:r>
        <w:rPr>
          <w:rFonts w:ascii="仿宋_GB2312" w:hAnsi="宋体" w:eastAsia="仿宋_GB2312" w:cstheme="minorBidi"/>
          <w:sz w:val="32"/>
          <w:szCs w:val="28"/>
        </w:rPr>
        <w:t>》的基础上，结合</w:t>
      </w:r>
      <w:r>
        <w:rPr>
          <w:rFonts w:hint="eastAsia" w:ascii="仿宋_GB2312" w:hAnsi="宋体" w:eastAsia="仿宋_GB2312" w:cstheme="minorBidi"/>
          <w:sz w:val="32"/>
          <w:szCs w:val="28"/>
        </w:rPr>
        <w:t>中心外业工作开展的特点，</w:t>
      </w:r>
      <w:r>
        <w:rPr>
          <w:rFonts w:ascii="仿宋_GB2312" w:hAnsi="宋体" w:eastAsia="仿宋_GB2312" w:cstheme="minorBidi"/>
          <w:sz w:val="32"/>
          <w:szCs w:val="28"/>
        </w:rPr>
        <w:t>注重编制的标准能够指导、约束、规范</w:t>
      </w:r>
      <w:r>
        <w:rPr>
          <w:rFonts w:hint="eastAsia" w:ascii="仿宋_GB2312" w:hAnsi="宋体" w:eastAsia="仿宋_GB2312" w:cstheme="minorBidi"/>
          <w:sz w:val="32"/>
          <w:szCs w:val="28"/>
        </w:rPr>
        <w:t>中心的外业调查工作</w:t>
      </w:r>
      <w:r>
        <w:rPr>
          <w:rFonts w:ascii="仿宋_GB2312" w:hAnsi="宋体" w:eastAsia="仿宋_GB2312" w:cstheme="minorBidi"/>
          <w:sz w:val="32"/>
          <w:szCs w:val="28"/>
        </w:rPr>
        <w:t>。</w:t>
      </w:r>
    </w:p>
    <w:p w14:paraId="1426395A">
      <w:pPr>
        <w:pStyle w:val="4"/>
        <w:adjustRightInd w:val="0"/>
        <w:spacing w:after="0"/>
        <w:ind w:left="0" w:leftChars="0" w:firstLine="640" w:firstLineChars="200"/>
        <w:rPr>
          <w:rFonts w:hint="eastAsia" w:ascii="仿宋" w:hAnsi="仿宋" w:eastAsia="仿宋"/>
          <w:sz w:val="36"/>
          <w:szCs w:val="32"/>
        </w:rPr>
      </w:pPr>
      <w:r>
        <w:rPr>
          <w:rFonts w:ascii="仿宋_GB2312" w:hAnsi="宋体" w:eastAsia="仿宋_GB2312" w:cstheme="minorBidi"/>
          <w:sz w:val="32"/>
          <w:szCs w:val="28"/>
        </w:rPr>
        <w:t>规范性原则：标准的编制的格式严格按照国家标准 GB/T 1.1</w:t>
      </w:r>
      <w:r>
        <w:rPr>
          <w:rFonts w:hint="eastAsia" w:ascii="仿宋_GB2312" w:hAnsi="宋体" w:eastAsia="仿宋_GB2312" w:cstheme="minorBidi"/>
          <w:sz w:val="32"/>
          <w:szCs w:val="28"/>
        </w:rPr>
        <w:t>—2020《标准化工作导则 第1部分：标准化文件的结构和起草规则》</w:t>
      </w:r>
      <w:r>
        <w:rPr>
          <w:rFonts w:ascii="仿宋_GB2312" w:hAnsi="宋体" w:eastAsia="仿宋_GB2312" w:cstheme="minorBidi"/>
          <w:sz w:val="32"/>
          <w:szCs w:val="28"/>
        </w:rPr>
        <w:t>的规定，采用标准编制软件进行文档编制，保证标准编制的规范性。</w:t>
      </w:r>
    </w:p>
    <w:p w14:paraId="1972EE04">
      <w:pPr>
        <w:adjustRightInd w:val="0"/>
        <w:snapToGrid w:val="0"/>
        <w:ind w:firstLine="643" w:firstLineChars="200"/>
        <w:contextualSpacing/>
        <w:outlineLvl w:val="1"/>
        <w:rPr>
          <w:rFonts w:hint="eastAsia" w:ascii="仿宋" w:hAnsi="仿宋" w:eastAsia="仿宋"/>
          <w:b/>
          <w:sz w:val="32"/>
          <w:szCs w:val="32"/>
        </w:rPr>
      </w:pPr>
      <w:r>
        <w:rPr>
          <w:rFonts w:hint="eastAsia" w:ascii="仿宋" w:hAnsi="仿宋" w:eastAsia="仿宋"/>
          <w:b/>
          <w:sz w:val="32"/>
          <w:szCs w:val="32"/>
        </w:rPr>
        <w:t>（二）确定规程主要内容的依据</w:t>
      </w:r>
    </w:p>
    <w:p w14:paraId="6921CB65">
      <w:pPr>
        <w:ind w:firstLine="640" w:firstLineChars="200"/>
        <w:rPr>
          <w:rFonts w:hint="eastAsia" w:ascii="仿宋_GB2312" w:hAnsi="宋体" w:eastAsia="仿宋_GB2312" w:cstheme="minorBidi"/>
          <w:sz w:val="32"/>
          <w:szCs w:val="28"/>
        </w:rPr>
      </w:pPr>
      <w:r>
        <w:rPr>
          <w:rFonts w:hint="eastAsia" w:ascii="仿宋_GB2312" w:hAnsi="宋体" w:eastAsia="仿宋_GB2312"/>
          <w:sz w:val="32"/>
          <w:szCs w:val="28"/>
          <w:lang w:eastAsia="zh-CN"/>
        </w:rPr>
        <w:t>《</w:t>
      </w:r>
      <w:r>
        <w:rPr>
          <w:rFonts w:hint="eastAsia" w:ascii="仿宋_GB2312" w:hAnsi="宋体" w:eastAsia="仿宋_GB2312"/>
          <w:sz w:val="32"/>
          <w:szCs w:val="28"/>
        </w:rPr>
        <w:t>海洋调查设备承重头及接线盒</w:t>
      </w:r>
      <w:r>
        <w:rPr>
          <w:rFonts w:hint="eastAsia" w:ascii="仿宋_GB2312" w:hAnsi="宋体" w:eastAsia="仿宋_GB2312"/>
          <w:sz w:val="32"/>
          <w:szCs w:val="28"/>
          <w:lang w:val="en-US" w:eastAsia="zh-CN"/>
        </w:rPr>
        <w:t>装配</w:t>
      </w:r>
      <w:r>
        <w:rPr>
          <w:rFonts w:hint="eastAsia" w:ascii="仿宋_GB2312" w:hAnsi="宋体" w:eastAsia="仿宋_GB2312"/>
          <w:sz w:val="32"/>
          <w:szCs w:val="28"/>
        </w:rPr>
        <w:t>制作</w:t>
      </w:r>
      <w:r>
        <w:rPr>
          <w:rFonts w:hint="eastAsia" w:ascii="仿宋_GB2312" w:hAnsi="宋体" w:eastAsia="仿宋_GB2312"/>
          <w:sz w:val="32"/>
          <w:szCs w:val="28"/>
          <w:lang w:val="en-US" w:eastAsia="zh-CN"/>
        </w:rPr>
        <w:t>规范</w:t>
      </w:r>
      <w:r>
        <w:rPr>
          <w:rFonts w:hint="eastAsia" w:ascii="仿宋_GB2312" w:hAnsi="宋体" w:eastAsia="仿宋_GB2312"/>
          <w:sz w:val="32"/>
          <w:szCs w:val="28"/>
          <w:lang w:eastAsia="zh-CN"/>
        </w:rPr>
        <w:t>》</w:t>
      </w:r>
      <w:r>
        <w:rPr>
          <w:rFonts w:hint="eastAsia" w:ascii="仿宋_GB2312" w:hAnsi="宋体" w:eastAsia="仿宋_GB2312" w:cstheme="minorBidi"/>
          <w:sz w:val="32"/>
          <w:szCs w:val="28"/>
        </w:rPr>
        <w:t>（工作讨论组）共9章，主要内容包括范围、规范性引用文件、术语和定义、基本设计要求、制作准备、分段及预处理、承重头制作、接线盒制作以及整体装配和保存。</w:t>
      </w:r>
    </w:p>
    <w:p w14:paraId="10E70D64">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本规程通过研究国内外舷外承重头及接线盒制作的发展现状、需求，依据《海洋标准体系》的体系框架设计，参考中心各船舶已有的作业规范，制定出本规范框架。本规范适用于中心船舶外业调查中舷外调查设备承重头及接线盒制作。</w:t>
      </w:r>
    </w:p>
    <w:p w14:paraId="663409B8">
      <w:p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三、主要试验（验证）的分析、综述报告，技术经济论证，预期的经济效果</w:t>
      </w:r>
    </w:p>
    <w:p w14:paraId="7565B44D">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通过团体标准形式，推进相关成果在政府部门、涉海高校和企业内共享应用。</w:t>
      </w:r>
    </w:p>
    <w:p w14:paraId="270CBC87">
      <w:pPr>
        <w:ind w:firstLine="640" w:firstLineChars="200"/>
        <w:rPr>
          <w:rFonts w:hint="eastAsia" w:ascii="仿宋_GB2312" w:hAnsi="宋体" w:eastAsia="仿宋_GB2312" w:cstheme="minorBidi"/>
          <w:sz w:val="32"/>
          <w:szCs w:val="28"/>
        </w:rPr>
      </w:pPr>
      <w:r>
        <w:rPr>
          <w:rFonts w:hint="eastAsia" w:ascii="仿宋_GB2312" w:hAnsi="宋体" w:eastAsia="仿宋_GB2312" w:cstheme="minorBidi"/>
          <w:sz w:val="32"/>
          <w:szCs w:val="28"/>
        </w:rPr>
        <w:t>通过科技成果转化和市场化应用，预期也会产生一定的经济价值，包括提升作业效率，提高取样质量，承揽更多业务等。</w:t>
      </w:r>
    </w:p>
    <w:p w14:paraId="2EA942FD">
      <w:p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四、采用国际标准的程度及水平的简要说明</w:t>
      </w:r>
    </w:p>
    <w:p w14:paraId="2E7BA360">
      <w:pPr>
        <w:ind w:firstLine="640" w:firstLineChars="200"/>
        <w:rPr>
          <w:rFonts w:hint="eastAsia" w:ascii="仿宋" w:hAnsi="仿宋" w:eastAsia="仿宋"/>
          <w:sz w:val="32"/>
          <w:szCs w:val="32"/>
        </w:rPr>
      </w:pPr>
      <w:r>
        <w:rPr>
          <w:rFonts w:hint="eastAsia" w:ascii="仿宋" w:hAnsi="仿宋" w:eastAsia="仿宋"/>
          <w:sz w:val="32"/>
          <w:szCs w:val="32"/>
        </w:rPr>
        <w:t>未采用国际标准。</w:t>
      </w:r>
    </w:p>
    <w:p w14:paraId="4727A8FA">
      <w:pPr>
        <w:ind w:firstLine="640" w:firstLineChars="200"/>
        <w:rPr>
          <w:rFonts w:hint="eastAsia" w:ascii="仿宋" w:hAnsi="仿宋" w:eastAsia="仿宋"/>
          <w:sz w:val="32"/>
          <w:szCs w:val="32"/>
        </w:rPr>
      </w:pPr>
      <w:r>
        <w:rPr>
          <w:rFonts w:hint="eastAsia" w:ascii="仿宋" w:hAnsi="仿宋" w:eastAsia="仿宋"/>
          <w:sz w:val="32"/>
          <w:szCs w:val="32"/>
        </w:rPr>
        <w:t>目前没有相关的国际标准可参考或引用，国内，有几个标准体系可供参考，如《海洋调查船舷外作业设备对接装置技术要求》等，但在国内海洋行业编制团标属首次制定。</w:t>
      </w:r>
    </w:p>
    <w:p w14:paraId="578A568F">
      <w:p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五、重大分歧意见的处理经过和依据</w:t>
      </w:r>
    </w:p>
    <w:p w14:paraId="7127A0AF">
      <w:pPr>
        <w:ind w:firstLine="640" w:firstLineChars="200"/>
        <w:rPr>
          <w:rFonts w:hint="eastAsia" w:ascii="仿宋" w:hAnsi="仿宋" w:eastAsia="仿宋"/>
          <w:sz w:val="32"/>
          <w:szCs w:val="32"/>
        </w:rPr>
      </w:pPr>
      <w:r>
        <w:rPr>
          <w:rFonts w:hint="eastAsia" w:ascii="仿宋" w:hAnsi="仿宋" w:eastAsia="仿宋"/>
          <w:sz w:val="32"/>
          <w:szCs w:val="32"/>
        </w:rPr>
        <w:t>无。</w:t>
      </w:r>
    </w:p>
    <w:p w14:paraId="184C59A1">
      <w:p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六、贯彻学会标准的要求和措施建议</w:t>
      </w:r>
    </w:p>
    <w:p w14:paraId="365EF321">
      <w:pPr>
        <w:ind w:firstLine="640" w:firstLineChars="200"/>
        <w:rPr>
          <w:rFonts w:hint="eastAsia" w:ascii="仿宋" w:hAnsi="仿宋" w:eastAsia="仿宋"/>
          <w:sz w:val="32"/>
          <w:szCs w:val="32"/>
        </w:rPr>
      </w:pPr>
      <w:r>
        <w:rPr>
          <w:rFonts w:hint="eastAsia" w:ascii="仿宋" w:hAnsi="仿宋" w:eastAsia="仿宋"/>
          <w:sz w:val="32"/>
          <w:szCs w:val="32"/>
        </w:rPr>
        <w:t>为了保证标准的落实与应用，建议采取以下措施。</w:t>
      </w:r>
    </w:p>
    <w:p w14:paraId="73A1FFB8">
      <w:pPr>
        <w:ind w:firstLine="640" w:firstLineChars="200"/>
        <w:rPr>
          <w:rFonts w:hint="eastAsia" w:ascii="仿宋" w:hAnsi="仿宋" w:eastAsia="仿宋"/>
          <w:sz w:val="32"/>
          <w:szCs w:val="32"/>
        </w:rPr>
      </w:pPr>
      <w:r>
        <w:rPr>
          <w:rFonts w:hint="eastAsia" w:ascii="仿宋" w:hAnsi="仿宋" w:eastAsia="仿宋"/>
          <w:sz w:val="32"/>
          <w:szCs w:val="32"/>
        </w:rPr>
        <w:t>1）组织措施：中国海洋学会海洋标准化分会联合自然资源部北海海洋技术中心等单位举办宣贯培训班，组织各有关船舶和任务参航人员进行本标准的学习和培训，以规范舷外调查设备承重头及接线盒制作规范，保证作业安全。</w:t>
      </w:r>
    </w:p>
    <w:p w14:paraId="594E4765">
      <w:pPr>
        <w:ind w:firstLine="640" w:firstLineChars="200"/>
        <w:rPr>
          <w:rFonts w:hint="eastAsia" w:ascii="仿宋" w:hAnsi="仿宋" w:eastAsia="仿宋"/>
          <w:b/>
          <w:sz w:val="32"/>
          <w:szCs w:val="32"/>
        </w:rPr>
      </w:pPr>
      <w:r>
        <w:rPr>
          <w:rFonts w:hint="eastAsia" w:ascii="仿宋" w:hAnsi="仿宋" w:eastAsia="仿宋"/>
          <w:sz w:val="32"/>
          <w:szCs w:val="32"/>
        </w:rPr>
        <w:t>2）技术措施：尽快将作业规范应用到实践中，不断的收集反馈信息进行完善，同时也要跟踪前沿技术，开展关键技术研究</w:t>
      </w:r>
      <w:r>
        <w:rPr>
          <w:rFonts w:ascii="仿宋" w:hAnsi="仿宋" w:eastAsia="仿宋"/>
          <w:sz w:val="32"/>
          <w:szCs w:val="32"/>
        </w:rPr>
        <w:t>，为下一次修订奠定基础。</w:t>
      </w:r>
    </w:p>
    <w:p w14:paraId="69334CA0">
      <w:pPr>
        <w:adjustRightInd w:val="0"/>
        <w:spacing w:line="480" w:lineRule="auto"/>
        <w:outlineLvl w:val="0"/>
        <w:rPr>
          <w:rFonts w:hint="eastAsia" w:ascii="仿宋" w:hAnsi="仿宋" w:eastAsia="仿宋"/>
          <w:b/>
          <w:sz w:val="32"/>
          <w:szCs w:val="32"/>
        </w:rPr>
      </w:pPr>
      <w:r>
        <w:rPr>
          <w:rFonts w:hint="eastAsia" w:ascii="仿宋" w:hAnsi="仿宋" w:eastAsia="仿宋"/>
          <w:b/>
          <w:sz w:val="32"/>
          <w:szCs w:val="32"/>
        </w:rPr>
        <w:t>七、其它应予说明的事项</w:t>
      </w:r>
    </w:p>
    <w:p w14:paraId="700F87CA">
      <w:pPr>
        <w:ind w:firstLine="640" w:firstLineChars="200"/>
        <w:rPr>
          <w:rFonts w:hint="eastAsia" w:ascii="仿宋" w:hAnsi="仿宋" w:eastAsia="仿宋"/>
          <w:sz w:val="32"/>
          <w:szCs w:val="32"/>
        </w:rPr>
      </w:pPr>
      <w:r>
        <w:rPr>
          <w:rFonts w:hint="eastAsia" w:ascii="仿宋" w:hAnsi="仿宋" w:eastAsia="仿宋"/>
          <w:sz w:val="32"/>
          <w:szCs w:val="32"/>
        </w:rPr>
        <w:t>无。</w:t>
      </w: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31ABF">
    <w:pPr>
      <w:pStyle w:val="6"/>
      <w:jc w:val="center"/>
    </w:pPr>
  </w:p>
  <w:p w14:paraId="2095BCEC">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E7A7D">
    <w:pPr>
      <w:pStyle w:val="6"/>
      <w:jc w:val="center"/>
    </w:pPr>
    <w:r>
      <w:fldChar w:fldCharType="begin"/>
    </w:r>
    <w:r>
      <w:instrText xml:space="preserve"> PAGE   \* MERGEFORMAT </w:instrText>
    </w:r>
    <w:r>
      <w:fldChar w:fldCharType="separate"/>
    </w:r>
    <w:r>
      <w:rPr>
        <w:lang w:val="zh-CN"/>
      </w:rPr>
      <w:t>1</w:t>
    </w:r>
    <w:r>
      <w:rPr>
        <w:lang w:val="zh-CN"/>
      </w:rPr>
      <w:fldChar w:fldCharType="end"/>
    </w:r>
  </w:p>
  <w:p w14:paraId="3D2DC293">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3818537"/>
    </w:sdtPr>
    <w:sdtContent>
      <w:p w14:paraId="2FB5E4AF">
        <w:pPr>
          <w:pStyle w:val="6"/>
          <w:jc w:val="center"/>
        </w:pPr>
        <w:r>
          <w:fldChar w:fldCharType="begin"/>
        </w:r>
        <w:r>
          <w:instrText xml:space="preserve">PAGE   \* MERGEFORMAT</w:instrText>
        </w:r>
        <w:r>
          <w:fldChar w:fldCharType="separate"/>
        </w:r>
        <w:r>
          <w:rPr>
            <w:lang w:val="zh-CN"/>
          </w:rPr>
          <w:t>2</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787"/>
    <w:rsid w:val="00007DCE"/>
    <w:rsid w:val="00032333"/>
    <w:rsid w:val="000504A6"/>
    <w:rsid w:val="0005739F"/>
    <w:rsid w:val="000B2B7B"/>
    <w:rsid w:val="000C0D64"/>
    <w:rsid w:val="000C2BAA"/>
    <w:rsid w:val="00101BCD"/>
    <w:rsid w:val="00126B10"/>
    <w:rsid w:val="00160839"/>
    <w:rsid w:val="00162F16"/>
    <w:rsid w:val="00200641"/>
    <w:rsid w:val="002438CB"/>
    <w:rsid w:val="00285ADB"/>
    <w:rsid w:val="002948BB"/>
    <w:rsid w:val="002B0467"/>
    <w:rsid w:val="002F1729"/>
    <w:rsid w:val="00300787"/>
    <w:rsid w:val="00313F89"/>
    <w:rsid w:val="00314E6B"/>
    <w:rsid w:val="003254C9"/>
    <w:rsid w:val="00335297"/>
    <w:rsid w:val="00342FFE"/>
    <w:rsid w:val="00367185"/>
    <w:rsid w:val="00377479"/>
    <w:rsid w:val="003862E0"/>
    <w:rsid w:val="003A016C"/>
    <w:rsid w:val="003C3311"/>
    <w:rsid w:val="003C51F6"/>
    <w:rsid w:val="003D29F9"/>
    <w:rsid w:val="003F1F10"/>
    <w:rsid w:val="00400666"/>
    <w:rsid w:val="004038C4"/>
    <w:rsid w:val="00477B4B"/>
    <w:rsid w:val="0048746B"/>
    <w:rsid w:val="004A779A"/>
    <w:rsid w:val="004E2C05"/>
    <w:rsid w:val="00513E90"/>
    <w:rsid w:val="005172E1"/>
    <w:rsid w:val="005432AC"/>
    <w:rsid w:val="00564A50"/>
    <w:rsid w:val="005822A4"/>
    <w:rsid w:val="00596DF0"/>
    <w:rsid w:val="005B268A"/>
    <w:rsid w:val="005B7927"/>
    <w:rsid w:val="005C28EA"/>
    <w:rsid w:val="005D5EE9"/>
    <w:rsid w:val="005E6701"/>
    <w:rsid w:val="005F1547"/>
    <w:rsid w:val="005F2349"/>
    <w:rsid w:val="005F41B1"/>
    <w:rsid w:val="005F567E"/>
    <w:rsid w:val="005F775D"/>
    <w:rsid w:val="006570F1"/>
    <w:rsid w:val="00661599"/>
    <w:rsid w:val="006C1E49"/>
    <w:rsid w:val="006E6562"/>
    <w:rsid w:val="007123D7"/>
    <w:rsid w:val="00724ACE"/>
    <w:rsid w:val="0072693D"/>
    <w:rsid w:val="007349E4"/>
    <w:rsid w:val="00750119"/>
    <w:rsid w:val="00755CE9"/>
    <w:rsid w:val="00794680"/>
    <w:rsid w:val="007E02CF"/>
    <w:rsid w:val="007E4391"/>
    <w:rsid w:val="00852978"/>
    <w:rsid w:val="0085460F"/>
    <w:rsid w:val="0086194F"/>
    <w:rsid w:val="00877184"/>
    <w:rsid w:val="008A3320"/>
    <w:rsid w:val="008B48CC"/>
    <w:rsid w:val="008D4574"/>
    <w:rsid w:val="008F6EB3"/>
    <w:rsid w:val="00926CC0"/>
    <w:rsid w:val="00951820"/>
    <w:rsid w:val="00960AB5"/>
    <w:rsid w:val="00990B83"/>
    <w:rsid w:val="009A597C"/>
    <w:rsid w:val="009A656D"/>
    <w:rsid w:val="009C0440"/>
    <w:rsid w:val="009E7814"/>
    <w:rsid w:val="009F095D"/>
    <w:rsid w:val="00A009E5"/>
    <w:rsid w:val="00A402B9"/>
    <w:rsid w:val="00A42EAA"/>
    <w:rsid w:val="00A54604"/>
    <w:rsid w:val="00A63A7E"/>
    <w:rsid w:val="00A654AB"/>
    <w:rsid w:val="00A85DB4"/>
    <w:rsid w:val="00A94D75"/>
    <w:rsid w:val="00AB5C31"/>
    <w:rsid w:val="00AE061C"/>
    <w:rsid w:val="00AE232C"/>
    <w:rsid w:val="00AE4FA7"/>
    <w:rsid w:val="00AE5E3B"/>
    <w:rsid w:val="00AF02C3"/>
    <w:rsid w:val="00AF3900"/>
    <w:rsid w:val="00B03442"/>
    <w:rsid w:val="00B166B0"/>
    <w:rsid w:val="00B27E5D"/>
    <w:rsid w:val="00B5432C"/>
    <w:rsid w:val="00B75DF3"/>
    <w:rsid w:val="00BE7D93"/>
    <w:rsid w:val="00BF0812"/>
    <w:rsid w:val="00C07A36"/>
    <w:rsid w:val="00C22560"/>
    <w:rsid w:val="00C3246F"/>
    <w:rsid w:val="00C636D2"/>
    <w:rsid w:val="00C90160"/>
    <w:rsid w:val="00C965EB"/>
    <w:rsid w:val="00CA54A0"/>
    <w:rsid w:val="00CB372F"/>
    <w:rsid w:val="00CE7A39"/>
    <w:rsid w:val="00CF2D12"/>
    <w:rsid w:val="00D0227A"/>
    <w:rsid w:val="00D05E8D"/>
    <w:rsid w:val="00D26242"/>
    <w:rsid w:val="00D813A7"/>
    <w:rsid w:val="00DD1F8C"/>
    <w:rsid w:val="00DD2844"/>
    <w:rsid w:val="00DD3F49"/>
    <w:rsid w:val="00DD6694"/>
    <w:rsid w:val="00DE0810"/>
    <w:rsid w:val="00E051EA"/>
    <w:rsid w:val="00E3310A"/>
    <w:rsid w:val="00E7097F"/>
    <w:rsid w:val="00E71251"/>
    <w:rsid w:val="00E77FD3"/>
    <w:rsid w:val="00E80B4D"/>
    <w:rsid w:val="00E834E8"/>
    <w:rsid w:val="00EA532E"/>
    <w:rsid w:val="00EB123F"/>
    <w:rsid w:val="00EC7FF5"/>
    <w:rsid w:val="00F261DF"/>
    <w:rsid w:val="00F60606"/>
    <w:rsid w:val="00F825C2"/>
    <w:rsid w:val="00F85069"/>
    <w:rsid w:val="00F937CF"/>
    <w:rsid w:val="00FA497A"/>
    <w:rsid w:val="00FC7521"/>
    <w:rsid w:val="044411AD"/>
    <w:rsid w:val="112847F6"/>
    <w:rsid w:val="5F7A620E"/>
    <w:rsid w:val="630B3F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Document Map"/>
    <w:basedOn w:val="1"/>
    <w:link w:val="15"/>
    <w:semiHidden/>
    <w:unhideWhenUsed/>
    <w:uiPriority w:val="99"/>
    <w:rPr>
      <w:rFonts w:ascii="宋体"/>
      <w:sz w:val="18"/>
      <w:szCs w:val="18"/>
    </w:rPr>
  </w:style>
  <w:style w:type="paragraph" w:styleId="3">
    <w:name w:val="annotation text"/>
    <w:basedOn w:val="1"/>
    <w:link w:val="17"/>
    <w:semiHidden/>
    <w:unhideWhenUsed/>
    <w:uiPriority w:val="99"/>
    <w:pPr>
      <w:jc w:val="left"/>
    </w:pPr>
  </w:style>
  <w:style w:type="paragraph" w:styleId="4">
    <w:name w:val="Body Text Indent"/>
    <w:basedOn w:val="1"/>
    <w:link w:val="14"/>
    <w:qFormat/>
    <w:uiPriority w:val="0"/>
    <w:pPr>
      <w:spacing w:after="120"/>
      <w:ind w:left="420" w:leftChars="200"/>
    </w:pPr>
    <w:rPr>
      <w:rFonts w:ascii="Times New Roman" w:hAnsi="Times New Roman"/>
      <w:kern w:val="0"/>
      <w:sz w:val="20"/>
      <w:szCs w:val="20"/>
    </w:rPr>
  </w:style>
  <w:style w:type="paragraph" w:styleId="5">
    <w:name w:val="Balloon Text"/>
    <w:basedOn w:val="1"/>
    <w:link w:val="16"/>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8"/>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7"/>
    <w:qFormat/>
    <w:uiPriority w:val="99"/>
    <w:rPr>
      <w:rFonts w:ascii="Calibri" w:hAnsi="Calibri" w:eastAsia="宋体" w:cs="Times New Roman"/>
      <w:sz w:val="18"/>
      <w:szCs w:val="18"/>
    </w:rPr>
  </w:style>
  <w:style w:type="character" w:customStyle="1" w:styleId="13">
    <w:name w:val="页脚 字符"/>
    <w:basedOn w:val="10"/>
    <w:link w:val="6"/>
    <w:qFormat/>
    <w:uiPriority w:val="99"/>
    <w:rPr>
      <w:rFonts w:ascii="Calibri" w:hAnsi="Calibri" w:eastAsia="宋体" w:cs="Times New Roman"/>
      <w:sz w:val="18"/>
      <w:szCs w:val="18"/>
    </w:rPr>
  </w:style>
  <w:style w:type="character" w:customStyle="1" w:styleId="14">
    <w:name w:val="正文文本缩进 字符"/>
    <w:basedOn w:val="10"/>
    <w:link w:val="4"/>
    <w:qFormat/>
    <w:uiPriority w:val="0"/>
    <w:rPr>
      <w:rFonts w:ascii="Times New Roman" w:hAnsi="Times New Roman" w:eastAsia="宋体" w:cs="Times New Roman"/>
      <w:kern w:val="0"/>
      <w:sz w:val="20"/>
      <w:szCs w:val="20"/>
    </w:rPr>
  </w:style>
  <w:style w:type="character" w:customStyle="1" w:styleId="15">
    <w:name w:val="文档结构图 字符"/>
    <w:basedOn w:val="10"/>
    <w:link w:val="2"/>
    <w:semiHidden/>
    <w:qFormat/>
    <w:uiPriority w:val="99"/>
    <w:rPr>
      <w:rFonts w:ascii="宋体" w:hAnsi="Calibri" w:eastAsia="宋体" w:cs="Times New Roman"/>
      <w:sz w:val="18"/>
      <w:szCs w:val="18"/>
    </w:rPr>
  </w:style>
  <w:style w:type="character" w:customStyle="1" w:styleId="16">
    <w:name w:val="批注框文本 字符"/>
    <w:basedOn w:val="10"/>
    <w:link w:val="5"/>
    <w:semiHidden/>
    <w:qFormat/>
    <w:uiPriority w:val="99"/>
    <w:rPr>
      <w:rFonts w:ascii="Calibri" w:hAnsi="Calibri" w:eastAsia="宋体" w:cs="Times New Roman"/>
      <w:sz w:val="18"/>
      <w:szCs w:val="18"/>
    </w:rPr>
  </w:style>
  <w:style w:type="character" w:customStyle="1" w:styleId="17">
    <w:name w:val="批注文字 字符"/>
    <w:basedOn w:val="10"/>
    <w:link w:val="3"/>
    <w:semiHidden/>
    <w:qFormat/>
    <w:uiPriority w:val="99"/>
    <w:rPr>
      <w:rFonts w:ascii="Calibri" w:hAnsi="Calibri" w:eastAsia="宋体" w:cs="Times New Roman"/>
    </w:rPr>
  </w:style>
  <w:style w:type="character" w:customStyle="1" w:styleId="18">
    <w:name w:val="批注主题 字符"/>
    <w:basedOn w:val="17"/>
    <w:link w:val="8"/>
    <w:semiHidden/>
    <w:qFormat/>
    <w:uiPriority w:val="99"/>
    <w:rPr>
      <w:rFonts w:ascii="Calibri" w:hAnsi="Calibri" w:eastAsia="宋体" w:cs="Times New Roman"/>
      <w:b/>
      <w:bCs/>
    </w:rPr>
  </w:style>
  <w:style w:type="paragraph" w:customStyle="1" w:styleId="19">
    <w:name w:val="修订1"/>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1852</Words>
  <Characters>1896</Characters>
  <Lines>64</Lines>
  <Paragraphs>46</Paragraphs>
  <TotalTime>2</TotalTime>
  <ScaleCrop>false</ScaleCrop>
  <LinksUpToDate>false</LinksUpToDate>
  <CharactersWithSpaces>1901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2025-06-01T13:18:00Z</dcterms:created>
  <dc:creator>zhangyange</dc:creator>
  <cp:lastModifiedBy>严晋</cp:lastModifiedBy>
  <dcterms:modified xsi:type="dcterms:W3CDTF">2026-05-14T00:40:54Z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eyJoZGlkIjoiNjhmMjBiM2VlMDAwNTUzODUxODBlMmRjZTdmZDQ2NTAiLCJ1c2VySWQiOiIyNTAyODc3MzgifQ==</vt:lpwstr>
  </property>
  <property fmtid="{D5CDD505-2E9C-101B-9397-08002B2CF9AE}" pid="3" name="KSOProductBuildVer">
    <vt:lpwstr>2052-12.1.0.25865</vt:lpwstr>
  </property>
  <property fmtid="{D5CDD505-2E9C-101B-9397-08002B2CF9AE}" pid="4" name="ICV">
    <vt:lpwstr>E22B55C887B644B6ACD544A90B6C1E40_12</vt:lpwstr>
  </property>
</Properties>
</file>