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F7E9E">
      <w:pPr>
        <w:adjustRightInd w:val="0"/>
        <w:snapToGrid w:val="0"/>
        <w:spacing w:line="360" w:lineRule="auto"/>
        <w:rPr>
          <w:rFonts w:hint="eastAsia" w:ascii="仿宋" w:hAnsi="仿宋" w:eastAsia="仿宋"/>
          <w:sz w:val="32"/>
          <w:szCs w:val="32"/>
        </w:rPr>
      </w:pPr>
    </w:p>
    <w:p w14:paraId="3B595A33">
      <w:pPr>
        <w:adjustRightInd w:val="0"/>
        <w:snapToGrid w:val="0"/>
        <w:spacing w:line="360" w:lineRule="auto"/>
        <w:jc w:val="center"/>
        <w:rPr>
          <w:rFonts w:hint="eastAsia" w:ascii="仿宋" w:hAnsi="仿宋" w:eastAsia="仿宋"/>
          <w:b/>
          <w:sz w:val="32"/>
          <w:szCs w:val="32"/>
        </w:rPr>
      </w:pPr>
    </w:p>
    <w:p w14:paraId="6DE63875">
      <w:pPr>
        <w:adjustRightInd w:val="0"/>
        <w:snapToGrid w:val="0"/>
        <w:spacing w:line="360" w:lineRule="auto"/>
        <w:jc w:val="center"/>
        <w:rPr>
          <w:rFonts w:hint="eastAsia" w:ascii="仿宋" w:hAnsi="仿宋" w:eastAsia="仿宋"/>
          <w:b/>
          <w:sz w:val="32"/>
          <w:szCs w:val="32"/>
        </w:rPr>
      </w:pPr>
    </w:p>
    <w:p w14:paraId="3410C9DB">
      <w:pPr>
        <w:adjustRightInd w:val="0"/>
        <w:snapToGrid w:val="0"/>
        <w:spacing w:line="360" w:lineRule="auto"/>
        <w:jc w:val="center"/>
        <w:rPr>
          <w:rFonts w:hint="eastAsia" w:ascii="仿宋" w:hAnsi="仿宋" w:eastAsia="仿宋"/>
          <w:b/>
          <w:sz w:val="32"/>
          <w:szCs w:val="32"/>
        </w:rPr>
      </w:pPr>
    </w:p>
    <w:p w14:paraId="031C9906">
      <w:pPr>
        <w:adjustRightInd w:val="0"/>
        <w:snapToGrid w:val="0"/>
        <w:spacing w:line="360" w:lineRule="auto"/>
        <w:jc w:val="center"/>
        <w:rPr>
          <w:rFonts w:hint="eastAsia" w:ascii="黑体" w:hAnsi="黑体" w:eastAsia="黑体"/>
          <w:sz w:val="44"/>
          <w:szCs w:val="44"/>
        </w:rPr>
      </w:pPr>
      <w:r>
        <w:rPr>
          <w:rFonts w:hint="eastAsia" w:ascii="黑体" w:hAnsi="黑体" w:eastAsia="黑体"/>
          <w:sz w:val="44"/>
          <w:szCs w:val="44"/>
        </w:rPr>
        <w:t>海洋调查设备海上作业安全技术规程</w:t>
      </w:r>
    </w:p>
    <w:p w14:paraId="7B273313">
      <w:pPr>
        <w:adjustRightInd w:val="0"/>
        <w:snapToGrid w:val="0"/>
        <w:spacing w:line="360" w:lineRule="auto"/>
        <w:jc w:val="center"/>
        <w:rPr>
          <w:rFonts w:hint="eastAsia" w:ascii="楷体" w:hAnsi="楷体" w:eastAsia="楷体"/>
          <w:sz w:val="32"/>
          <w:szCs w:val="32"/>
        </w:rPr>
      </w:pPr>
      <w:r>
        <w:rPr>
          <w:rFonts w:hint="eastAsia" w:ascii="黑体" w:hAnsi="黑体" w:eastAsia="黑体"/>
          <w:sz w:val="44"/>
          <w:szCs w:val="44"/>
        </w:rPr>
        <w:t>近底磁力拖曳系统</w:t>
      </w:r>
    </w:p>
    <w:p w14:paraId="29DF4D14">
      <w:pPr>
        <w:adjustRightInd w:val="0"/>
        <w:snapToGrid w:val="0"/>
        <w:spacing w:line="360" w:lineRule="auto"/>
        <w:jc w:val="center"/>
        <w:rPr>
          <w:rFonts w:hint="eastAsia" w:ascii="仿宋" w:hAnsi="仿宋" w:eastAsia="仿宋"/>
          <w:b/>
          <w:sz w:val="36"/>
          <w:szCs w:val="36"/>
        </w:rPr>
      </w:pPr>
      <w:r>
        <w:rPr>
          <w:rFonts w:hint="eastAsia" w:ascii="仿宋" w:hAnsi="仿宋" w:eastAsia="仿宋"/>
          <w:b/>
          <w:sz w:val="36"/>
          <w:szCs w:val="36"/>
        </w:rPr>
        <w:t>编制说明</w:t>
      </w:r>
    </w:p>
    <w:p w14:paraId="769CB554">
      <w:pPr>
        <w:adjustRightInd w:val="0"/>
        <w:snapToGrid w:val="0"/>
        <w:spacing w:line="360" w:lineRule="auto"/>
        <w:jc w:val="center"/>
        <w:rPr>
          <w:rFonts w:hint="eastAsia" w:ascii="仿宋" w:hAnsi="仿宋" w:eastAsia="仿宋"/>
          <w:b/>
          <w:sz w:val="32"/>
          <w:szCs w:val="32"/>
        </w:rPr>
      </w:pPr>
    </w:p>
    <w:p w14:paraId="74E55924">
      <w:pPr>
        <w:adjustRightInd w:val="0"/>
        <w:snapToGrid w:val="0"/>
        <w:spacing w:line="360" w:lineRule="auto"/>
        <w:jc w:val="center"/>
        <w:rPr>
          <w:rFonts w:hint="eastAsia" w:ascii="仿宋" w:hAnsi="仿宋" w:eastAsia="仿宋"/>
          <w:b/>
          <w:sz w:val="32"/>
          <w:szCs w:val="32"/>
        </w:rPr>
      </w:pPr>
    </w:p>
    <w:p w14:paraId="1D999D36">
      <w:pPr>
        <w:adjustRightInd w:val="0"/>
        <w:snapToGrid w:val="0"/>
        <w:spacing w:line="360" w:lineRule="auto"/>
        <w:jc w:val="center"/>
        <w:rPr>
          <w:rFonts w:hint="eastAsia" w:ascii="仿宋" w:hAnsi="仿宋" w:eastAsia="仿宋"/>
          <w:b/>
          <w:sz w:val="32"/>
          <w:szCs w:val="32"/>
        </w:rPr>
      </w:pPr>
    </w:p>
    <w:p w14:paraId="2930E015">
      <w:pPr>
        <w:adjustRightInd w:val="0"/>
        <w:snapToGrid w:val="0"/>
        <w:spacing w:line="360" w:lineRule="auto"/>
        <w:jc w:val="center"/>
        <w:rPr>
          <w:rFonts w:hint="eastAsia" w:ascii="仿宋" w:hAnsi="仿宋" w:eastAsia="仿宋"/>
          <w:b/>
          <w:sz w:val="32"/>
          <w:szCs w:val="32"/>
        </w:rPr>
      </w:pPr>
    </w:p>
    <w:p w14:paraId="531159B3">
      <w:pPr>
        <w:adjustRightInd w:val="0"/>
        <w:snapToGrid w:val="0"/>
        <w:spacing w:line="360" w:lineRule="auto"/>
        <w:rPr>
          <w:rFonts w:hint="eastAsia" w:ascii="仿宋" w:hAnsi="仿宋" w:eastAsia="仿宋"/>
          <w:b/>
          <w:sz w:val="32"/>
          <w:szCs w:val="32"/>
        </w:rPr>
      </w:pPr>
    </w:p>
    <w:p w14:paraId="5BAAFA39">
      <w:pPr>
        <w:adjustRightInd w:val="0"/>
        <w:snapToGrid w:val="0"/>
        <w:spacing w:line="360" w:lineRule="auto"/>
        <w:rPr>
          <w:rFonts w:hint="eastAsia" w:ascii="仿宋" w:hAnsi="仿宋" w:eastAsia="仿宋"/>
          <w:b/>
          <w:sz w:val="32"/>
          <w:szCs w:val="32"/>
        </w:rPr>
      </w:pPr>
    </w:p>
    <w:p w14:paraId="494E4083">
      <w:pPr>
        <w:adjustRightInd w:val="0"/>
        <w:snapToGrid w:val="0"/>
        <w:spacing w:line="360" w:lineRule="auto"/>
        <w:rPr>
          <w:rFonts w:hint="eastAsia" w:ascii="仿宋" w:hAnsi="仿宋" w:eastAsia="仿宋"/>
          <w:b/>
          <w:sz w:val="32"/>
          <w:szCs w:val="32"/>
        </w:rPr>
      </w:pPr>
    </w:p>
    <w:p w14:paraId="5A0DB954">
      <w:pPr>
        <w:adjustRightInd w:val="0"/>
        <w:snapToGrid w:val="0"/>
        <w:spacing w:line="360" w:lineRule="auto"/>
        <w:jc w:val="center"/>
        <w:rPr>
          <w:rFonts w:hint="eastAsia" w:ascii="仿宋" w:hAnsi="仿宋" w:eastAsia="仿宋"/>
          <w:sz w:val="32"/>
          <w:szCs w:val="32"/>
        </w:rPr>
      </w:pPr>
      <w:r>
        <w:rPr>
          <w:rFonts w:hint="eastAsia" w:ascii="仿宋" w:hAnsi="仿宋" w:eastAsia="仿宋"/>
          <w:sz w:val="32"/>
          <w:szCs w:val="32"/>
        </w:rPr>
        <w:t>自然资源部北海海洋技术中心</w:t>
      </w:r>
    </w:p>
    <w:p w14:paraId="5B8BC041">
      <w:pPr>
        <w:adjustRightInd w:val="0"/>
        <w:snapToGrid w:val="0"/>
        <w:spacing w:line="360" w:lineRule="auto"/>
        <w:jc w:val="center"/>
        <w:rPr>
          <w:rFonts w:hint="eastAsia" w:ascii="仿宋" w:hAnsi="仿宋" w:eastAsia="仿宋"/>
          <w:sz w:val="32"/>
          <w:szCs w:val="32"/>
        </w:rPr>
        <w:sectPr>
          <w:footerReference r:id="rId6" w:type="first"/>
          <w:footerReference r:id="rId5" w:type="default"/>
          <w:pgSz w:w="11906" w:h="16838"/>
          <w:pgMar w:top="1440" w:right="1800" w:bottom="1440" w:left="1800" w:header="851" w:footer="992" w:gutter="0"/>
          <w:cols w:space="425" w:num="1"/>
          <w:docGrid w:type="lines" w:linePitch="312" w:charSpace="0"/>
        </w:sectPr>
      </w:pPr>
      <w:r>
        <w:rPr>
          <w:rFonts w:hint="eastAsia" w:ascii="仿宋" w:hAnsi="仿宋" w:eastAsia="仿宋"/>
          <w:sz w:val="32"/>
          <w:szCs w:val="32"/>
        </w:rPr>
        <w:t>20</w:t>
      </w:r>
      <w:r>
        <w:rPr>
          <w:rFonts w:ascii="仿宋" w:hAnsi="仿宋" w:eastAsia="仿宋"/>
          <w:sz w:val="32"/>
          <w:szCs w:val="32"/>
        </w:rPr>
        <w:t>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5</w:t>
      </w:r>
      <w:r>
        <w:rPr>
          <w:rFonts w:hint="eastAsia" w:ascii="仿宋" w:hAnsi="仿宋" w:eastAsia="仿宋"/>
          <w:sz w:val="32"/>
          <w:szCs w:val="32"/>
        </w:rPr>
        <w:t>月</w:t>
      </w:r>
    </w:p>
    <w:p w14:paraId="1A310F13">
      <w:pPr>
        <w:adjustRightInd w:val="0"/>
        <w:snapToGrid w:val="0"/>
        <w:spacing w:line="360" w:lineRule="auto"/>
        <w:jc w:val="center"/>
        <w:rPr>
          <w:rFonts w:hint="eastAsia" w:ascii="黑体" w:hAnsi="黑体" w:eastAsia="黑体"/>
          <w:sz w:val="44"/>
          <w:szCs w:val="44"/>
        </w:rPr>
      </w:pPr>
      <w:r>
        <w:rPr>
          <w:rFonts w:hint="eastAsia" w:ascii="仿宋" w:hAnsi="仿宋" w:eastAsia="仿宋"/>
          <w:b/>
          <w:sz w:val="36"/>
          <w:szCs w:val="36"/>
        </w:rPr>
        <w:t>《近底磁力拖曳系统操作规程》编制说明</w:t>
      </w:r>
    </w:p>
    <w:p w14:paraId="671C072B">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一、工作简况（包括任务来源、参加单位、主要工作过程、标准主要起草人及其所做的工作等）</w:t>
      </w:r>
    </w:p>
    <w:p w14:paraId="394BF076">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（一）任务来源</w:t>
      </w:r>
    </w:p>
    <w:p w14:paraId="3154B1AA">
      <w:pPr>
        <w:ind w:firstLine="640" w:firstLineChars="200"/>
        <w:rPr>
          <w:rFonts w:hint="eastAsia" w:ascii="仿宋_GB2312" w:hAnsi="宋体" w:eastAsia="仿宋_GB2312"/>
          <w:sz w:val="32"/>
          <w:szCs w:val="28"/>
        </w:rPr>
      </w:pPr>
      <w:r>
        <w:rPr>
          <w:rFonts w:hint="eastAsia" w:ascii="仿宋_GB2312" w:hAnsi="宋体" w:eastAsia="仿宋_GB2312"/>
          <w:sz w:val="32"/>
          <w:szCs w:val="28"/>
        </w:rPr>
        <w:t>为深入贯彻落实习近平总书记关于总体国家安全观和安全生产工作的重要论述及党中央、国务院决策部署，切实履行海洋调查安全主体责任，进一步规范海洋调查作业流程、提升作业质效、防范安全风险，自然资源部北海海洋技术中心（自然资源部北海船舶飞机管理中心）立足长期承担国家重大专项和大洋深潜技术保障工作的实践基础，系统总结海洋调查装备安全作业与我国海洋科考船舶适配性建设的实践经验。计划梳理有关近底磁力拖曳系统操作流程等相关内容，通过团体标准的形式，推动形成可复制、可推广的技术规范成果，为政府部门实施安全监管、科研院所开展科考作业、涉海企业提升生产效能提供标准化支撑，全面促进海洋调查领域安全生产治理体系和治理能力现代化。</w:t>
      </w:r>
    </w:p>
    <w:p w14:paraId="19309596">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（二）协作单位</w:t>
      </w:r>
    </w:p>
    <w:p w14:paraId="4E9299BE">
      <w:pPr>
        <w:adjustRightInd w:val="0"/>
        <w:snapToGrid w:val="0"/>
        <w:ind w:firstLine="640" w:firstLineChars="200"/>
        <w:contextualSpacing/>
        <w:outlineLvl w:val="1"/>
        <w:rPr>
          <w:rFonts w:ascii="仿宋_GB2312" w:eastAsia="仿宋_GB2312"/>
          <w:sz w:val="32"/>
        </w:rPr>
      </w:pPr>
      <w:r>
        <w:rPr>
          <w:rFonts w:hint="eastAsia" w:ascii="仿宋_GB2312" w:eastAsia="仿宋_GB2312"/>
          <w:sz w:val="32"/>
        </w:rPr>
        <w:t>国家海洋标准计量中心</w:t>
      </w:r>
      <w:bookmarkStart w:id="2" w:name="_GoBack"/>
      <w:bookmarkEnd w:id="2"/>
    </w:p>
    <w:p w14:paraId="004BCC14">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（三）主要工作过程</w:t>
      </w:r>
    </w:p>
    <w:p w14:paraId="76E0D8EE">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（1）预研阶段</w:t>
      </w:r>
    </w:p>
    <w:p w14:paraId="2AEF0F1C">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本标准的编制工作从2025年2月开始，由调查技术室具体承担，主要工作过程如下：</w:t>
      </w:r>
    </w:p>
    <w:p w14:paraId="30237592">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20</w:t>
      </w:r>
      <w:r>
        <w:rPr>
          <w:rFonts w:ascii="仿宋_GB2312" w:hAnsi="宋体" w:eastAsia="仿宋_GB2312" w:cstheme="minorBidi"/>
          <w:sz w:val="32"/>
          <w:szCs w:val="28"/>
        </w:rPr>
        <w:t>2</w:t>
      </w:r>
      <w:r>
        <w:rPr>
          <w:rFonts w:hint="eastAsia" w:ascii="仿宋_GB2312" w:hAnsi="宋体" w:eastAsia="仿宋_GB2312" w:cstheme="minorBidi"/>
          <w:sz w:val="32"/>
          <w:szCs w:val="28"/>
        </w:rPr>
        <w:t>5年</w:t>
      </w:r>
      <w:r>
        <w:rPr>
          <w:rFonts w:ascii="仿宋_GB2312" w:hAnsi="宋体" w:eastAsia="仿宋_GB2312" w:cstheme="minorBidi"/>
          <w:sz w:val="32"/>
          <w:szCs w:val="28"/>
        </w:rPr>
        <w:t>3</w:t>
      </w:r>
      <w:r>
        <w:rPr>
          <w:rFonts w:hint="eastAsia" w:ascii="仿宋_GB2312" w:hAnsi="宋体" w:eastAsia="仿宋_GB2312" w:cstheme="minorBidi"/>
          <w:sz w:val="32"/>
          <w:szCs w:val="28"/>
        </w:rPr>
        <w:t>月：标准预研究、草稿编制。</w:t>
      </w:r>
    </w:p>
    <w:p w14:paraId="5B62380E">
      <w:pPr>
        <w:ind w:firstLine="640" w:firstLineChars="200"/>
        <w:rPr>
          <w:rFonts w:hint="eastAsia" w:ascii="仿宋_GB2312" w:hAnsi="宋体" w:eastAsia="仿宋_GB2312" w:cstheme="minorBidi"/>
          <w:sz w:val="32"/>
          <w:szCs w:val="28"/>
        </w:rPr>
      </w:pPr>
      <w:r>
        <w:rPr>
          <w:rFonts w:ascii="仿宋_GB2312" w:hAnsi="宋体" w:eastAsia="仿宋_GB2312" w:cstheme="minorBidi"/>
          <w:sz w:val="32"/>
          <w:szCs w:val="28"/>
        </w:rPr>
        <w:t>202</w:t>
      </w:r>
      <w:r>
        <w:rPr>
          <w:rFonts w:hint="eastAsia" w:ascii="仿宋_GB2312" w:hAnsi="宋体" w:eastAsia="仿宋_GB2312" w:cstheme="minorBidi"/>
          <w:sz w:val="32"/>
          <w:szCs w:val="28"/>
        </w:rPr>
        <w:t>5年</w:t>
      </w:r>
      <w:r>
        <w:rPr>
          <w:rFonts w:ascii="仿宋_GB2312" w:hAnsi="宋体" w:eastAsia="仿宋_GB2312" w:cstheme="minorBidi"/>
          <w:sz w:val="32"/>
          <w:szCs w:val="28"/>
        </w:rPr>
        <w:t>3</w:t>
      </w:r>
      <w:r>
        <w:rPr>
          <w:rFonts w:hint="eastAsia" w:ascii="仿宋_GB2312" w:hAnsi="宋体" w:eastAsia="仿宋_GB2312" w:cstheme="minorBidi"/>
          <w:sz w:val="32"/>
          <w:szCs w:val="28"/>
        </w:rPr>
        <w:t>月3</w:t>
      </w:r>
      <w:r>
        <w:rPr>
          <w:rFonts w:ascii="仿宋_GB2312" w:hAnsi="宋体" w:eastAsia="仿宋_GB2312" w:cstheme="minorBidi"/>
          <w:sz w:val="32"/>
          <w:szCs w:val="28"/>
        </w:rPr>
        <w:t>1</w:t>
      </w:r>
      <w:r>
        <w:rPr>
          <w:rFonts w:hint="eastAsia" w:ascii="仿宋_GB2312" w:hAnsi="宋体" w:eastAsia="仿宋_GB2312" w:cstheme="minorBidi"/>
          <w:sz w:val="32"/>
          <w:szCs w:val="28"/>
        </w:rPr>
        <w:t>日-5月31日：组织讨论修改、行程团标草案、立项申请书、编制说明。</w:t>
      </w:r>
    </w:p>
    <w:p w14:paraId="4EC2E089">
      <w:pPr>
        <w:ind w:firstLine="640" w:firstLineChars="200"/>
        <w:rPr>
          <w:rFonts w:hint="default" w:ascii="仿宋_GB2312" w:hAnsi="宋体" w:eastAsia="仿宋_GB2312" w:cstheme="minorBidi"/>
          <w:sz w:val="32"/>
          <w:szCs w:val="28"/>
          <w:lang w:val="en-US" w:eastAsia="zh-CN"/>
        </w:rPr>
      </w:pPr>
      <w:r>
        <w:rPr>
          <w:rFonts w:hint="eastAsia" w:ascii="仿宋_GB2312" w:hAnsi="宋体" w:eastAsia="仿宋_GB2312" w:cstheme="minorBidi"/>
          <w:sz w:val="32"/>
          <w:szCs w:val="28"/>
          <w:lang w:val="en-US" w:eastAsia="zh-CN"/>
        </w:rPr>
        <w:t>2025年6月-2026年5月：通过立项审查，根据专家意见完善内容。</w:t>
      </w:r>
    </w:p>
    <w:p w14:paraId="620D5F01">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（四）标准主要起草人及其所做的工作</w:t>
      </w:r>
    </w:p>
    <w:p w14:paraId="3602951C">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王茂旭：助理工程师，</w:t>
      </w:r>
      <w:r>
        <w:rPr>
          <w:rFonts w:hint="eastAsia" w:ascii="仿宋_GB2312" w:eastAsia="仿宋_GB2312"/>
          <w:color w:val="0D0D0D"/>
          <w:sz w:val="32"/>
        </w:rPr>
        <w:t>负责本标准总体框架的确定，负责本标准正文和编制说明的具体编写及修改。</w:t>
      </w:r>
    </w:p>
    <w:p w14:paraId="1C1F34A8">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张丽婷：正高级工程师，负责规程体系审核。</w:t>
      </w:r>
    </w:p>
    <w:p w14:paraId="7433D091">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任峰：高级工程师，</w:t>
      </w:r>
      <w:r>
        <w:rPr>
          <w:rFonts w:hint="eastAsia" w:ascii="仿宋_GB2312" w:eastAsia="仿宋_GB2312"/>
          <w:color w:val="0D0D0D"/>
          <w:sz w:val="32"/>
        </w:rPr>
        <w:t>负责标准的标准化修改，参与标准编制说明的编写</w:t>
      </w:r>
      <w:r>
        <w:rPr>
          <w:rFonts w:hint="eastAsia" w:ascii="仿宋_GB2312" w:hAnsi="宋体" w:eastAsia="仿宋_GB2312" w:cstheme="minorBidi"/>
          <w:sz w:val="32"/>
          <w:szCs w:val="28"/>
        </w:rPr>
        <w:t>。</w:t>
      </w:r>
    </w:p>
    <w:p w14:paraId="4BD4696A">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马治忠：高级工程师，参与标准编制研讨，并参加应用服务收集整理。</w:t>
      </w:r>
    </w:p>
    <w:p w14:paraId="2EDCF2A9">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孙元宏：</w:t>
      </w:r>
      <w:bookmarkStart w:id="0" w:name="OLE_LINK2"/>
      <w:r>
        <w:rPr>
          <w:rFonts w:hint="eastAsia" w:ascii="仿宋_GB2312" w:hAnsi="宋体" w:eastAsia="仿宋_GB2312" w:cstheme="minorBidi"/>
          <w:sz w:val="32"/>
          <w:szCs w:val="28"/>
        </w:rPr>
        <w:t>高级</w:t>
      </w:r>
      <w:bookmarkEnd w:id="0"/>
      <w:r>
        <w:rPr>
          <w:rFonts w:hint="eastAsia" w:ascii="仿宋_GB2312" w:hAnsi="宋体" w:eastAsia="仿宋_GB2312" w:cstheme="minorBidi"/>
          <w:sz w:val="32"/>
          <w:szCs w:val="28"/>
        </w:rPr>
        <w:t>工程师，</w:t>
      </w:r>
      <w:r>
        <w:rPr>
          <w:rFonts w:hint="eastAsia" w:ascii="仿宋_GB2312" w:eastAsia="仿宋_GB2312"/>
          <w:sz w:val="32"/>
        </w:rPr>
        <w:t>参与标准细则的完善。</w:t>
      </w:r>
    </w:p>
    <w:p w14:paraId="6D55FE21">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曾现敏：高级工程师，</w:t>
      </w:r>
      <w:r>
        <w:rPr>
          <w:rFonts w:hint="eastAsia" w:ascii="仿宋_GB2312" w:eastAsia="仿宋_GB2312"/>
          <w:sz w:val="32"/>
        </w:rPr>
        <w:t>参与标准格式、版面的整体检查及排版。</w:t>
      </w:r>
    </w:p>
    <w:p w14:paraId="7E24B484">
      <w:pPr>
        <w:spacing w:line="360" w:lineRule="auto"/>
        <w:ind w:firstLine="640" w:firstLineChars="200"/>
        <w:rPr>
          <w:rFonts w:ascii="仿宋_GB2312" w:eastAsia="仿宋_GB2312"/>
          <w:sz w:val="32"/>
        </w:rPr>
      </w:pPr>
      <w:r>
        <w:rPr>
          <w:rFonts w:hint="eastAsia" w:ascii="仿宋_GB2312" w:eastAsia="仿宋_GB2312"/>
          <w:sz w:val="32"/>
        </w:rPr>
        <w:t>徐昕：</w:t>
      </w:r>
      <w:r>
        <w:rPr>
          <w:rFonts w:hint="eastAsia" w:ascii="仿宋_GB2312" w:hAnsi="宋体" w:eastAsia="仿宋_GB2312" w:cstheme="minorBidi"/>
          <w:sz w:val="32"/>
          <w:szCs w:val="28"/>
        </w:rPr>
        <w:t>高级工程师，</w:t>
      </w:r>
      <w:r>
        <w:rPr>
          <w:rFonts w:hint="eastAsia" w:ascii="仿宋_GB2312" w:eastAsia="仿宋_GB2312"/>
          <w:sz w:val="32"/>
        </w:rPr>
        <w:t>参与标准内容的完善修改。</w:t>
      </w:r>
    </w:p>
    <w:p w14:paraId="170335CC">
      <w:pPr>
        <w:spacing w:line="360" w:lineRule="auto"/>
        <w:ind w:firstLine="640" w:firstLineChars="200"/>
        <w:rPr>
          <w:rFonts w:ascii="仿宋_GB2312" w:eastAsia="仿宋_GB2312"/>
          <w:sz w:val="32"/>
        </w:rPr>
      </w:pPr>
      <w:r>
        <w:rPr>
          <w:rFonts w:hint="eastAsia" w:ascii="仿宋_GB2312" w:eastAsia="仿宋_GB2312"/>
          <w:sz w:val="32"/>
        </w:rPr>
        <w:t>徐栋：</w:t>
      </w:r>
      <w:r>
        <w:rPr>
          <w:rFonts w:hint="eastAsia" w:ascii="仿宋_GB2312" w:hAnsi="宋体" w:eastAsia="仿宋_GB2312" w:cstheme="minorBidi"/>
          <w:sz w:val="32"/>
          <w:szCs w:val="28"/>
        </w:rPr>
        <w:t>工程师，</w:t>
      </w:r>
      <w:r>
        <w:rPr>
          <w:rFonts w:hint="eastAsia" w:ascii="仿宋_GB2312" w:eastAsia="仿宋_GB2312"/>
          <w:sz w:val="32"/>
        </w:rPr>
        <w:t>参与提出标准的修改意见。</w:t>
      </w:r>
    </w:p>
    <w:p w14:paraId="713385AF">
      <w:pPr>
        <w:spacing w:line="360" w:lineRule="auto"/>
        <w:ind w:firstLine="640" w:firstLineChars="200"/>
        <w:rPr>
          <w:rFonts w:ascii="仿宋_GB2312" w:eastAsia="仿宋_GB2312"/>
          <w:sz w:val="32"/>
        </w:rPr>
      </w:pPr>
      <w:r>
        <w:rPr>
          <w:rFonts w:hint="eastAsia" w:ascii="仿宋_GB2312" w:eastAsia="仿宋_GB2312"/>
          <w:sz w:val="32"/>
        </w:rPr>
        <w:t>孟涛：</w:t>
      </w:r>
      <w:r>
        <w:rPr>
          <w:rFonts w:hint="eastAsia" w:ascii="仿宋_GB2312" w:hAnsi="宋体" w:eastAsia="仿宋_GB2312" w:cstheme="minorBidi"/>
          <w:sz w:val="32"/>
          <w:szCs w:val="28"/>
        </w:rPr>
        <w:t>高级工程师，</w:t>
      </w:r>
      <w:r>
        <w:rPr>
          <w:rFonts w:hint="eastAsia" w:ascii="仿宋_GB2312" w:eastAsia="仿宋_GB2312"/>
          <w:sz w:val="32"/>
        </w:rPr>
        <w:t>参与标准的总体检查及技术支撑。</w:t>
      </w:r>
    </w:p>
    <w:p w14:paraId="6E43001B">
      <w:pPr>
        <w:spacing w:line="360" w:lineRule="auto"/>
        <w:ind w:firstLine="640" w:firstLineChars="200"/>
        <w:rPr>
          <w:rFonts w:ascii="仿宋_GB2312" w:eastAsia="仿宋_GB2312"/>
          <w:sz w:val="32"/>
        </w:rPr>
      </w:pPr>
      <w:r>
        <w:rPr>
          <w:rFonts w:hint="eastAsia" w:ascii="仿宋_GB2312" w:eastAsia="仿宋_GB2312"/>
          <w:sz w:val="32"/>
        </w:rPr>
        <w:t>严晋：</w:t>
      </w:r>
      <w:r>
        <w:rPr>
          <w:rFonts w:hint="eastAsia" w:ascii="仿宋_GB2312" w:hAnsi="宋体" w:eastAsia="仿宋_GB2312" w:cstheme="minorBidi"/>
          <w:sz w:val="32"/>
          <w:szCs w:val="28"/>
        </w:rPr>
        <w:t>工程师，</w:t>
      </w:r>
      <w:r>
        <w:rPr>
          <w:rFonts w:hint="eastAsia" w:ascii="仿宋_GB2312" w:eastAsia="仿宋_GB2312"/>
          <w:sz w:val="32"/>
        </w:rPr>
        <w:t>参与标准意见的汇总及征求意见单位的联系工作。</w:t>
      </w:r>
    </w:p>
    <w:p w14:paraId="32ACF324">
      <w:pPr>
        <w:spacing w:line="360" w:lineRule="auto"/>
        <w:ind w:firstLine="640" w:firstLineChars="200"/>
        <w:rPr>
          <w:rFonts w:ascii="仿宋_GB2312" w:eastAsia="仿宋_GB2312"/>
          <w:sz w:val="32"/>
        </w:rPr>
      </w:pPr>
      <w:r>
        <w:rPr>
          <w:rFonts w:hint="eastAsia" w:ascii="仿宋_GB2312" w:eastAsia="仿宋_GB2312"/>
          <w:sz w:val="32"/>
        </w:rPr>
        <w:t>周寅：参与汇总资料，整理反馈意见的汇总。</w:t>
      </w:r>
    </w:p>
    <w:p w14:paraId="2FF88D90">
      <w:pPr>
        <w:spacing w:line="360" w:lineRule="auto"/>
        <w:ind w:firstLine="640" w:firstLineChars="200"/>
        <w:rPr>
          <w:rFonts w:ascii="仿宋_GB2312" w:eastAsia="仿宋_GB2312"/>
          <w:sz w:val="32"/>
        </w:rPr>
      </w:pPr>
      <w:r>
        <w:rPr>
          <w:rFonts w:hint="eastAsia" w:ascii="仿宋_GB2312" w:eastAsia="仿宋_GB2312"/>
          <w:sz w:val="32"/>
        </w:rPr>
        <w:t>国家海洋标准计量中心：参与查找参考文献。</w:t>
      </w:r>
    </w:p>
    <w:p w14:paraId="6DF09E61">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二、确定团体学会标准主要技术内容</w:t>
      </w:r>
    </w:p>
    <w:p w14:paraId="42F8E434">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（一）规程的编制原则</w:t>
      </w:r>
    </w:p>
    <w:p w14:paraId="61576732">
      <w:pPr>
        <w:ind w:firstLine="640" w:firstLineChars="200"/>
        <w:rPr>
          <w:rFonts w:hint="eastAsia" w:ascii="仿宋_GB2312" w:hAnsi="宋体" w:eastAsia="仿宋_GB2312" w:cstheme="minorBidi"/>
          <w:sz w:val="32"/>
          <w:szCs w:val="28"/>
        </w:rPr>
      </w:pPr>
      <w:r>
        <w:rPr>
          <w:rFonts w:ascii="仿宋_GB2312" w:hAnsi="宋体" w:eastAsia="仿宋_GB2312" w:cstheme="minorBidi"/>
          <w:sz w:val="32"/>
          <w:szCs w:val="28"/>
        </w:rPr>
        <w:t>本</w:t>
      </w:r>
      <w:r>
        <w:rPr>
          <w:rFonts w:hint="eastAsia" w:ascii="仿宋_GB2312" w:hAnsi="宋体" w:eastAsia="仿宋_GB2312" w:cstheme="minorBidi"/>
          <w:sz w:val="32"/>
          <w:szCs w:val="28"/>
        </w:rPr>
        <w:t>规程</w:t>
      </w:r>
      <w:r>
        <w:rPr>
          <w:rFonts w:ascii="仿宋_GB2312" w:hAnsi="宋体" w:eastAsia="仿宋_GB2312" w:cstheme="minorBidi"/>
          <w:sz w:val="32"/>
          <w:szCs w:val="28"/>
        </w:rPr>
        <w:t>遵循系统性</w:t>
      </w:r>
      <w:r>
        <w:rPr>
          <w:rFonts w:hint="eastAsia" w:ascii="仿宋_GB2312" w:hAnsi="宋体" w:eastAsia="仿宋_GB2312" w:cstheme="minorBidi"/>
          <w:sz w:val="32"/>
          <w:szCs w:val="28"/>
        </w:rPr>
        <w:t>、指导性</w:t>
      </w:r>
      <w:r>
        <w:rPr>
          <w:rFonts w:ascii="仿宋_GB2312" w:hAnsi="宋体" w:eastAsia="仿宋_GB2312" w:cstheme="minorBidi"/>
          <w:sz w:val="32"/>
          <w:szCs w:val="28"/>
        </w:rPr>
        <w:t>和</w:t>
      </w:r>
      <w:r>
        <w:rPr>
          <w:rFonts w:hint="eastAsia" w:ascii="仿宋_GB2312" w:hAnsi="宋体" w:eastAsia="仿宋_GB2312" w:cstheme="minorBidi"/>
          <w:sz w:val="32"/>
          <w:szCs w:val="28"/>
        </w:rPr>
        <w:t>规范性</w:t>
      </w:r>
      <w:r>
        <w:rPr>
          <w:rFonts w:ascii="仿宋_GB2312" w:hAnsi="宋体" w:eastAsia="仿宋_GB2312" w:cstheme="minorBidi"/>
          <w:sz w:val="32"/>
          <w:szCs w:val="28"/>
        </w:rPr>
        <w:t>原则，与国家现行的法律法规、部门规范性文件以及相关资料整编技术规程相衔接，在确保体系完整的前提下，充分考虑标准的继承性、实用性</w:t>
      </w:r>
      <w:r>
        <w:rPr>
          <w:rFonts w:hint="eastAsia" w:ascii="仿宋_GB2312" w:hAnsi="宋体" w:eastAsia="仿宋_GB2312" w:cstheme="minorBidi"/>
          <w:sz w:val="32"/>
          <w:szCs w:val="28"/>
        </w:rPr>
        <w:t>、前瞻性</w:t>
      </w:r>
      <w:r>
        <w:rPr>
          <w:rFonts w:ascii="仿宋_GB2312" w:hAnsi="宋体" w:eastAsia="仿宋_GB2312" w:cstheme="minorBidi"/>
          <w:sz w:val="32"/>
          <w:szCs w:val="28"/>
        </w:rPr>
        <w:t>和可操作性。</w:t>
      </w:r>
    </w:p>
    <w:p w14:paraId="711ECDDD">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系统</w:t>
      </w:r>
      <w:r>
        <w:rPr>
          <w:rFonts w:ascii="仿宋_GB2312" w:hAnsi="宋体" w:eastAsia="仿宋_GB2312" w:cstheme="minorBidi"/>
          <w:sz w:val="32"/>
          <w:szCs w:val="28"/>
        </w:rPr>
        <w:t>性原则：</w:t>
      </w:r>
      <w:r>
        <w:rPr>
          <w:rFonts w:hint="eastAsia" w:ascii="仿宋_GB2312" w:hAnsi="宋体" w:eastAsia="仿宋_GB2312" w:cstheme="minorBidi"/>
          <w:sz w:val="32"/>
          <w:szCs w:val="28"/>
        </w:rPr>
        <w:t>规程</w:t>
      </w:r>
      <w:r>
        <w:rPr>
          <w:rFonts w:ascii="仿宋_GB2312" w:hAnsi="宋体" w:eastAsia="仿宋_GB2312" w:cstheme="minorBidi"/>
          <w:sz w:val="32"/>
          <w:szCs w:val="28"/>
        </w:rPr>
        <w:t>围绕</w:t>
      </w:r>
      <w:r>
        <w:rPr>
          <w:rFonts w:hint="eastAsia" w:ascii="仿宋_GB2312" w:hAnsi="宋体" w:eastAsia="仿宋_GB2312" w:cstheme="minorBidi"/>
          <w:sz w:val="32"/>
          <w:szCs w:val="28"/>
        </w:rPr>
        <w:t>海洋外业调查体系</w:t>
      </w:r>
      <w:r>
        <w:rPr>
          <w:rFonts w:ascii="仿宋_GB2312" w:hAnsi="宋体" w:eastAsia="仿宋_GB2312" w:cstheme="minorBidi"/>
          <w:sz w:val="32"/>
          <w:szCs w:val="28"/>
        </w:rPr>
        <w:t>的内容完整、技术规范科学合理的原则，按照基础通用标准、</w:t>
      </w:r>
      <w:r>
        <w:rPr>
          <w:rFonts w:hint="eastAsia" w:ascii="仿宋_GB2312" w:hAnsi="宋体" w:eastAsia="仿宋_GB2312" w:cstheme="minorBidi"/>
          <w:sz w:val="32"/>
          <w:szCs w:val="28"/>
        </w:rPr>
        <w:t>海洋环境安全数据、业务、应用</w:t>
      </w:r>
      <w:r>
        <w:rPr>
          <w:rFonts w:ascii="仿宋_GB2312" w:hAnsi="宋体" w:eastAsia="仿宋_GB2312" w:cstheme="minorBidi"/>
          <w:sz w:val="32"/>
          <w:szCs w:val="28"/>
        </w:rPr>
        <w:t>等分别开展相关具体内容的编制。</w:t>
      </w:r>
    </w:p>
    <w:p w14:paraId="45CC9C48">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指导</w:t>
      </w:r>
      <w:r>
        <w:rPr>
          <w:rFonts w:ascii="仿宋_GB2312" w:hAnsi="宋体" w:eastAsia="仿宋_GB2312" w:cstheme="minorBidi"/>
          <w:sz w:val="32"/>
          <w:szCs w:val="28"/>
        </w:rPr>
        <w:t>性原则：在已发布实施的GB/T 13016－2018《</w:t>
      </w:r>
      <w:r>
        <w:rPr>
          <w:rFonts w:hint="eastAsia" w:ascii="仿宋_GB2312" w:hAnsi="宋体" w:eastAsia="仿宋_GB2312" w:cstheme="minorBidi"/>
          <w:sz w:val="32"/>
          <w:szCs w:val="28"/>
        </w:rPr>
        <w:t>标准体系构建原则和要求</w:t>
      </w:r>
      <w:r>
        <w:rPr>
          <w:rFonts w:ascii="仿宋_GB2312" w:hAnsi="宋体" w:eastAsia="仿宋_GB2312" w:cstheme="minorBidi"/>
          <w:sz w:val="32"/>
          <w:szCs w:val="28"/>
        </w:rPr>
        <w:t>》和</w:t>
      </w:r>
      <w:r>
        <w:rPr>
          <w:rFonts w:hint="eastAsia" w:ascii="仿宋_GB2312" w:hAnsi="宋体" w:eastAsia="仿宋_GB2312" w:cstheme="minorBidi"/>
          <w:sz w:val="32"/>
          <w:szCs w:val="28"/>
        </w:rPr>
        <w:t>《海洋安全生产管理标准体系》</w:t>
      </w:r>
      <w:r>
        <w:rPr>
          <w:rFonts w:ascii="仿宋_GB2312" w:hAnsi="宋体" w:eastAsia="仿宋_GB2312" w:cstheme="minorBidi"/>
          <w:sz w:val="32"/>
          <w:szCs w:val="28"/>
        </w:rPr>
        <w:t>的基础上，结合</w:t>
      </w:r>
      <w:r>
        <w:rPr>
          <w:rFonts w:hint="eastAsia" w:ascii="仿宋_GB2312" w:hAnsi="宋体" w:eastAsia="仿宋_GB2312" w:cstheme="minorBidi"/>
          <w:sz w:val="32"/>
          <w:szCs w:val="28"/>
        </w:rPr>
        <w:t>中心外业工作开展的特点，</w:t>
      </w:r>
      <w:r>
        <w:rPr>
          <w:rFonts w:ascii="仿宋_GB2312" w:hAnsi="宋体" w:eastAsia="仿宋_GB2312" w:cstheme="minorBidi"/>
          <w:sz w:val="32"/>
          <w:szCs w:val="28"/>
        </w:rPr>
        <w:t>注重编制的标准能够指导、约束、规范</w:t>
      </w:r>
      <w:r>
        <w:rPr>
          <w:rFonts w:hint="eastAsia" w:ascii="仿宋_GB2312" w:hAnsi="宋体" w:eastAsia="仿宋_GB2312" w:cstheme="minorBidi"/>
          <w:sz w:val="32"/>
          <w:szCs w:val="28"/>
        </w:rPr>
        <w:t>中心的外业调查工作</w:t>
      </w:r>
      <w:r>
        <w:rPr>
          <w:rFonts w:ascii="仿宋_GB2312" w:hAnsi="宋体" w:eastAsia="仿宋_GB2312" w:cstheme="minorBidi"/>
          <w:sz w:val="32"/>
          <w:szCs w:val="28"/>
        </w:rPr>
        <w:t>。</w:t>
      </w:r>
    </w:p>
    <w:p w14:paraId="55945FE1">
      <w:pPr>
        <w:pStyle w:val="4"/>
        <w:adjustRightInd w:val="0"/>
        <w:spacing w:after="0"/>
        <w:ind w:left="0" w:leftChars="0" w:firstLine="640" w:firstLineChars="200"/>
        <w:rPr>
          <w:rFonts w:hint="eastAsia" w:ascii="仿宋" w:hAnsi="仿宋" w:eastAsia="仿宋"/>
          <w:sz w:val="36"/>
          <w:szCs w:val="32"/>
        </w:rPr>
      </w:pPr>
      <w:r>
        <w:rPr>
          <w:rFonts w:ascii="仿宋_GB2312" w:hAnsi="宋体" w:eastAsia="仿宋_GB2312" w:cstheme="minorBidi"/>
          <w:sz w:val="32"/>
          <w:szCs w:val="28"/>
        </w:rPr>
        <w:t>规范性原则：标准的编制的格式严格按照国家标准 GB/T 1.1</w:t>
      </w:r>
      <w:r>
        <w:rPr>
          <w:rFonts w:hint="eastAsia" w:ascii="仿宋_GB2312" w:hAnsi="宋体" w:eastAsia="仿宋_GB2312" w:cstheme="minorBidi"/>
          <w:sz w:val="32"/>
          <w:szCs w:val="28"/>
        </w:rPr>
        <w:t>—2020《标准化工作导则 第1部分：标准化文件的结构和起草规则》</w:t>
      </w:r>
      <w:r>
        <w:rPr>
          <w:rFonts w:ascii="仿宋_GB2312" w:hAnsi="宋体" w:eastAsia="仿宋_GB2312" w:cstheme="minorBidi"/>
          <w:sz w:val="32"/>
          <w:szCs w:val="28"/>
        </w:rPr>
        <w:t>的规定，采用标准编制软件进行文档编制，保证标准编制的规范性。</w:t>
      </w:r>
    </w:p>
    <w:p w14:paraId="382F1FE4">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（二）确定规程主要内容的依据</w:t>
      </w:r>
    </w:p>
    <w:p w14:paraId="02E74FEA">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《近底磁力拖曳系统操作规程》共8章，主要内容包括范围、规范性引用文件、术语和定义、总体要求、环境及设备要求、作业准备、设备布放与回收、应急预案。</w:t>
      </w:r>
    </w:p>
    <w:p w14:paraId="7EF16E90">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本规程通过研究国内外近底磁力拖曳系统的发展现状、需求，依据《海洋标准体系》的体系框架设计，参考中心各船舶已有的作业规程，制定出本规程框架。本规程适用于中心船舶外业调查中近底磁力拖曳系统作业。</w:t>
      </w:r>
    </w:p>
    <w:p w14:paraId="0F2B911D">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三、主要试验（验证）的分析、综述报告，技术经济论证，预期的经济效果</w:t>
      </w:r>
    </w:p>
    <w:p w14:paraId="156AC740">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通过团体标准形式，推进相关成果在政府部门、涉海高校和企业内共享应用。</w:t>
      </w:r>
    </w:p>
    <w:p w14:paraId="3C6AA131">
      <w:pPr>
        <w:ind w:firstLine="640" w:firstLineChars="200"/>
        <w:rPr>
          <w:rFonts w:hint="eastAsia" w:ascii="仿宋_GB2312" w:hAnsi="宋体" w:eastAsia="仿宋_GB2312" w:cstheme="minorBidi"/>
          <w:sz w:val="32"/>
          <w:szCs w:val="28"/>
        </w:rPr>
      </w:pPr>
      <w:bookmarkStart w:id="1" w:name="OLE_LINK1"/>
      <w:r>
        <w:rPr>
          <w:rFonts w:hint="eastAsia" w:ascii="仿宋_GB2312" w:hAnsi="宋体" w:eastAsia="仿宋_GB2312" w:cstheme="minorBidi"/>
          <w:sz w:val="32"/>
          <w:szCs w:val="28"/>
        </w:rPr>
        <w:t>通过科技成果转化和市场化应用，预期也会产生一定的经济价值，包括提升作业效率，保障数据质量，承揽更多业务等。</w:t>
      </w:r>
    </w:p>
    <w:bookmarkEnd w:id="1"/>
    <w:p w14:paraId="61B69E74">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四、采用国际标准的程度及水平的简要说明</w:t>
      </w:r>
    </w:p>
    <w:p w14:paraId="35E9B72F">
      <w:pPr>
        <w:ind w:firstLine="640" w:firstLineChars="200"/>
        <w:rPr>
          <w:rFonts w:hint="eastAsia" w:ascii="仿宋" w:hAnsi="仿宋" w:eastAsia="仿宋"/>
          <w:sz w:val="32"/>
          <w:szCs w:val="32"/>
        </w:rPr>
      </w:pPr>
      <w:r>
        <w:rPr>
          <w:rFonts w:hint="eastAsia" w:ascii="仿宋" w:hAnsi="仿宋" w:eastAsia="仿宋"/>
          <w:sz w:val="32"/>
          <w:szCs w:val="32"/>
        </w:rPr>
        <w:t>未采用国际标准。</w:t>
      </w:r>
    </w:p>
    <w:p w14:paraId="62256741">
      <w:pPr>
        <w:ind w:firstLine="640" w:firstLineChars="200"/>
        <w:rPr>
          <w:rFonts w:hint="eastAsia" w:ascii="仿宋" w:hAnsi="仿宋" w:eastAsia="仿宋"/>
          <w:sz w:val="32"/>
          <w:szCs w:val="32"/>
        </w:rPr>
      </w:pPr>
      <w:r>
        <w:rPr>
          <w:rFonts w:hint="eastAsia" w:ascii="仿宋" w:hAnsi="仿宋" w:eastAsia="仿宋"/>
          <w:sz w:val="32"/>
          <w:szCs w:val="32"/>
        </w:rPr>
        <w:t>目前没有相关的国际标准可参考或引用，国内，有几个标准体系可供参考，如《海洋调查标准体系》等，但在国内海洋行业编制团标属首次制定。</w:t>
      </w:r>
    </w:p>
    <w:p w14:paraId="4FF71901">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五、重大分歧意见的处理经过和依据</w:t>
      </w:r>
    </w:p>
    <w:p w14:paraId="558726E2">
      <w:pPr>
        <w:ind w:firstLine="640" w:firstLineChars="200"/>
        <w:rPr>
          <w:rFonts w:hint="eastAsia" w:ascii="仿宋" w:hAnsi="仿宋" w:eastAsia="仿宋"/>
          <w:sz w:val="32"/>
          <w:szCs w:val="32"/>
        </w:rPr>
      </w:pPr>
      <w:r>
        <w:rPr>
          <w:rFonts w:hint="eastAsia" w:ascii="仿宋" w:hAnsi="仿宋" w:eastAsia="仿宋"/>
          <w:sz w:val="32"/>
          <w:szCs w:val="32"/>
        </w:rPr>
        <w:t>无。</w:t>
      </w:r>
    </w:p>
    <w:p w14:paraId="3CEB9F0B">
      <w:pPr>
        <w:numPr>
          <w:ilvl w:val="0"/>
          <w:numId w:val="1"/>
        </w:num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贯彻学会标准的要求和措施建议</w:t>
      </w:r>
    </w:p>
    <w:p w14:paraId="364134E6">
      <w:pPr>
        <w:spacing w:after="0"/>
        <w:ind w:firstLine="640" w:firstLineChars="200"/>
        <w:rPr>
          <w:rFonts w:hint="eastAsia" w:ascii="仿宋_GB2312" w:hAnsi="宋体" w:eastAsia="仿宋_GB2312" w:cs="仿宋_GB2312"/>
          <w:sz w:val="32"/>
          <w:szCs w:val="28"/>
        </w:rPr>
      </w:pPr>
      <w:r>
        <w:rPr>
          <w:rFonts w:hint="eastAsia" w:ascii="仿宋_GB2312" w:hAnsi="宋体" w:eastAsia="仿宋_GB2312" w:cs="仿宋_GB2312"/>
          <w:sz w:val="32"/>
          <w:szCs w:val="28"/>
          <w:lang w:bidi="ar"/>
        </w:rPr>
        <w:t>为了保证标准的落实与应用，建议采取以下措施。</w:t>
      </w:r>
    </w:p>
    <w:p w14:paraId="7E973577">
      <w:pPr>
        <w:spacing w:after="0"/>
        <w:ind w:firstLine="640" w:firstLineChars="200"/>
        <w:rPr>
          <w:rFonts w:hint="eastAsia" w:ascii="仿宋_GB2312" w:hAnsi="宋体" w:eastAsia="仿宋_GB2312" w:cs="仿宋_GB2312"/>
          <w:sz w:val="32"/>
          <w:szCs w:val="28"/>
        </w:rPr>
      </w:pPr>
      <w:r>
        <w:rPr>
          <w:rFonts w:hint="eastAsia" w:ascii="仿宋_GB2312" w:hAnsi="宋体" w:eastAsia="仿宋_GB2312" w:cs="仿宋_GB2312"/>
          <w:sz w:val="32"/>
          <w:szCs w:val="28"/>
          <w:lang w:bidi="ar"/>
        </w:rPr>
        <w:t>1）组织措施：中国太平洋学会海洋标准化分会联合自然资源部北海海洋技术中心等单位举办宣贯培训班，组织各有关单位进行本标准的学习和培训，以提升海洋调查设备安全作业的规范化水平。</w:t>
      </w:r>
    </w:p>
    <w:p w14:paraId="09EB153D">
      <w:pPr>
        <w:spacing w:after="0"/>
        <w:ind w:firstLine="640" w:firstLineChars="200"/>
        <w:rPr>
          <w:rFonts w:hint="eastAsia" w:ascii="仿宋_GB2312" w:hAnsi="宋体" w:eastAsia="仿宋_GB2312" w:cs="仿宋_GB2312"/>
          <w:sz w:val="32"/>
          <w:szCs w:val="28"/>
          <w:lang w:bidi="ar"/>
        </w:rPr>
      </w:pPr>
      <w:r>
        <w:rPr>
          <w:rFonts w:hint="eastAsia" w:ascii="仿宋_GB2312" w:hAnsi="宋体" w:eastAsia="仿宋_GB2312" w:cs="仿宋_GB2312"/>
          <w:sz w:val="32"/>
          <w:szCs w:val="28"/>
          <w:lang w:bidi="ar"/>
        </w:rPr>
        <w:t>2）技术措施：海洋调查领域的技术总是在不断发展，需要尽快将技术规范应用到实践中，不断的收集反馈信息进行完善，同时也要跟踪前沿技术，开展关键技术研究，为下一次修订奠定基础。</w:t>
      </w:r>
    </w:p>
    <w:p w14:paraId="51C426E0">
      <w:pPr>
        <w:spacing w:after="0"/>
        <w:ind w:firstLine="643" w:firstLineChars="200"/>
        <w:rPr>
          <w:rFonts w:hint="eastAsia" w:ascii="仿宋" w:hAnsi="仿宋" w:eastAsia="仿宋"/>
          <w:b/>
          <w:sz w:val="32"/>
          <w:szCs w:val="32"/>
        </w:rPr>
      </w:pPr>
    </w:p>
    <w:p w14:paraId="1A9A7425">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七、其它应予说明的事项</w:t>
      </w:r>
    </w:p>
    <w:p w14:paraId="32665EA6">
      <w:pPr>
        <w:ind w:firstLine="640" w:firstLineChars="200"/>
        <w:rPr>
          <w:rFonts w:hint="eastAsia" w:ascii="仿宋" w:hAnsi="仿宋" w:eastAsia="仿宋"/>
          <w:sz w:val="32"/>
          <w:szCs w:val="32"/>
        </w:rPr>
      </w:pPr>
      <w:r>
        <w:rPr>
          <w:rFonts w:hint="eastAsia" w:ascii="仿宋" w:hAnsi="仿宋" w:eastAsia="仿宋"/>
          <w:sz w:val="32"/>
          <w:szCs w:val="32"/>
        </w:rPr>
        <w:t>无。</w:t>
      </w:r>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038E3">
    <w:pPr>
      <w:pStyle w:val="6"/>
      <w:jc w:val="center"/>
    </w:pPr>
  </w:p>
  <w:p w14:paraId="4D6313F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A5432">
    <w:pPr>
      <w:pStyle w:val="6"/>
      <w:jc w:val="center"/>
    </w:pPr>
    <w:r>
      <w:fldChar w:fldCharType="begin"/>
    </w:r>
    <w:r>
      <w:instrText xml:space="preserve"> PAGE   \* MERGEFORMAT </w:instrText>
    </w:r>
    <w:r>
      <w:fldChar w:fldCharType="separate"/>
    </w:r>
    <w:r>
      <w:rPr>
        <w:lang w:val="zh-CN"/>
      </w:rPr>
      <w:t>1</w:t>
    </w:r>
    <w:r>
      <w:rPr>
        <w:lang w:val="zh-CN"/>
      </w:rPr>
      <w:fldChar w:fldCharType="end"/>
    </w:r>
  </w:p>
  <w:p w14:paraId="5F4CBE54">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3818537"/>
    </w:sdtPr>
    <w:sdtContent>
      <w:p w14:paraId="7C6D39F4">
        <w:pPr>
          <w:pStyle w:val="6"/>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8E922"/>
    <w:multiLevelType w:val="singleLevel"/>
    <w:tmpl w:val="CE28E92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rsids>
    <w:rsidRoot w:val="00300787"/>
    <w:rsid w:val="00007DCE"/>
    <w:rsid w:val="00020857"/>
    <w:rsid w:val="000504A6"/>
    <w:rsid w:val="000C0D64"/>
    <w:rsid w:val="000D3706"/>
    <w:rsid w:val="00101BCD"/>
    <w:rsid w:val="00126B10"/>
    <w:rsid w:val="00160839"/>
    <w:rsid w:val="00162F16"/>
    <w:rsid w:val="002438CB"/>
    <w:rsid w:val="00285ADB"/>
    <w:rsid w:val="002B0467"/>
    <w:rsid w:val="002F1729"/>
    <w:rsid w:val="00300787"/>
    <w:rsid w:val="00312019"/>
    <w:rsid w:val="00313F89"/>
    <w:rsid w:val="00314E6B"/>
    <w:rsid w:val="003254C9"/>
    <w:rsid w:val="00335297"/>
    <w:rsid w:val="00342FFE"/>
    <w:rsid w:val="00345D83"/>
    <w:rsid w:val="003862E0"/>
    <w:rsid w:val="003C51F6"/>
    <w:rsid w:val="003D29F9"/>
    <w:rsid w:val="003F1F10"/>
    <w:rsid w:val="00400666"/>
    <w:rsid w:val="004038C4"/>
    <w:rsid w:val="00404A3D"/>
    <w:rsid w:val="004A779A"/>
    <w:rsid w:val="005172E1"/>
    <w:rsid w:val="005432AC"/>
    <w:rsid w:val="00564A50"/>
    <w:rsid w:val="005822A4"/>
    <w:rsid w:val="00596DF0"/>
    <w:rsid w:val="005B268A"/>
    <w:rsid w:val="005B7927"/>
    <w:rsid w:val="005C28EA"/>
    <w:rsid w:val="005D5EE9"/>
    <w:rsid w:val="005E6701"/>
    <w:rsid w:val="005F2349"/>
    <w:rsid w:val="005F41B1"/>
    <w:rsid w:val="005F567E"/>
    <w:rsid w:val="006570F1"/>
    <w:rsid w:val="00661599"/>
    <w:rsid w:val="00677602"/>
    <w:rsid w:val="006C1E49"/>
    <w:rsid w:val="006E6562"/>
    <w:rsid w:val="007123D7"/>
    <w:rsid w:val="007133F9"/>
    <w:rsid w:val="00720A8B"/>
    <w:rsid w:val="0072693D"/>
    <w:rsid w:val="00750119"/>
    <w:rsid w:val="00755CE9"/>
    <w:rsid w:val="00794680"/>
    <w:rsid w:val="007E02CF"/>
    <w:rsid w:val="007E4391"/>
    <w:rsid w:val="007F7631"/>
    <w:rsid w:val="008319CF"/>
    <w:rsid w:val="00851666"/>
    <w:rsid w:val="00852978"/>
    <w:rsid w:val="0086194F"/>
    <w:rsid w:val="00877184"/>
    <w:rsid w:val="008A0EF7"/>
    <w:rsid w:val="008A3320"/>
    <w:rsid w:val="008B48CC"/>
    <w:rsid w:val="008F6EB3"/>
    <w:rsid w:val="00926CC0"/>
    <w:rsid w:val="00951820"/>
    <w:rsid w:val="00960AB5"/>
    <w:rsid w:val="00990B83"/>
    <w:rsid w:val="009A597C"/>
    <w:rsid w:val="009A656D"/>
    <w:rsid w:val="009C0440"/>
    <w:rsid w:val="009C0B3E"/>
    <w:rsid w:val="009C6D3E"/>
    <w:rsid w:val="009D78D7"/>
    <w:rsid w:val="00A009E5"/>
    <w:rsid w:val="00A100FE"/>
    <w:rsid w:val="00A402B9"/>
    <w:rsid w:val="00A42EAA"/>
    <w:rsid w:val="00A54604"/>
    <w:rsid w:val="00A63A7E"/>
    <w:rsid w:val="00A654AB"/>
    <w:rsid w:val="00A85DB4"/>
    <w:rsid w:val="00A94D75"/>
    <w:rsid w:val="00AD1622"/>
    <w:rsid w:val="00AE061C"/>
    <w:rsid w:val="00AE232C"/>
    <w:rsid w:val="00AE4FA7"/>
    <w:rsid w:val="00AF02C3"/>
    <w:rsid w:val="00AF3900"/>
    <w:rsid w:val="00B03442"/>
    <w:rsid w:val="00B166B0"/>
    <w:rsid w:val="00B174AE"/>
    <w:rsid w:val="00B5432C"/>
    <w:rsid w:val="00B75DF3"/>
    <w:rsid w:val="00BF006E"/>
    <w:rsid w:val="00C07A36"/>
    <w:rsid w:val="00C22560"/>
    <w:rsid w:val="00C60223"/>
    <w:rsid w:val="00C90160"/>
    <w:rsid w:val="00CA54A0"/>
    <w:rsid w:val="00CB372F"/>
    <w:rsid w:val="00CD640A"/>
    <w:rsid w:val="00CE7A39"/>
    <w:rsid w:val="00CF2D12"/>
    <w:rsid w:val="00D0227A"/>
    <w:rsid w:val="00D05E8D"/>
    <w:rsid w:val="00D76243"/>
    <w:rsid w:val="00D813A7"/>
    <w:rsid w:val="00D82FD8"/>
    <w:rsid w:val="00DA1F6E"/>
    <w:rsid w:val="00DD1F8C"/>
    <w:rsid w:val="00DD2844"/>
    <w:rsid w:val="00DD6694"/>
    <w:rsid w:val="00DE0810"/>
    <w:rsid w:val="00E051EA"/>
    <w:rsid w:val="00E7097F"/>
    <w:rsid w:val="00E77FD3"/>
    <w:rsid w:val="00E80B4D"/>
    <w:rsid w:val="00E834E8"/>
    <w:rsid w:val="00EA532E"/>
    <w:rsid w:val="00EB6247"/>
    <w:rsid w:val="00EC7FF5"/>
    <w:rsid w:val="00EF33F0"/>
    <w:rsid w:val="00F261DF"/>
    <w:rsid w:val="00F60606"/>
    <w:rsid w:val="00F825C2"/>
    <w:rsid w:val="00F937CF"/>
    <w:rsid w:val="00FA497A"/>
    <w:rsid w:val="00FA7C74"/>
    <w:rsid w:val="00FC7521"/>
    <w:rsid w:val="014B3E12"/>
    <w:rsid w:val="0D5F347D"/>
    <w:rsid w:val="14695FDB"/>
    <w:rsid w:val="24A5625F"/>
    <w:rsid w:val="25AF0F2B"/>
    <w:rsid w:val="2A2C10FC"/>
    <w:rsid w:val="31E2488F"/>
    <w:rsid w:val="32CC4EC1"/>
    <w:rsid w:val="36F007AF"/>
    <w:rsid w:val="39802D74"/>
    <w:rsid w:val="3E9240B8"/>
    <w:rsid w:val="41833C3E"/>
    <w:rsid w:val="49853F5D"/>
    <w:rsid w:val="55091D8E"/>
    <w:rsid w:val="5C417EE1"/>
    <w:rsid w:val="6ADE4CBA"/>
    <w:rsid w:val="71C505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semiHidden/>
    <w:unhideWhenUsed/>
    <w:qFormat/>
    <w:uiPriority w:val="99"/>
    <w:rPr>
      <w:rFonts w:ascii="宋体"/>
      <w:sz w:val="18"/>
      <w:szCs w:val="18"/>
    </w:rPr>
  </w:style>
  <w:style w:type="paragraph" w:styleId="3">
    <w:name w:val="annotation text"/>
    <w:basedOn w:val="1"/>
    <w:link w:val="17"/>
    <w:semiHidden/>
    <w:unhideWhenUsed/>
    <w:qFormat/>
    <w:uiPriority w:val="99"/>
    <w:pPr>
      <w:jc w:val="left"/>
    </w:pPr>
  </w:style>
  <w:style w:type="paragraph" w:styleId="4">
    <w:name w:val="Body Text Indent"/>
    <w:basedOn w:val="1"/>
    <w:link w:val="14"/>
    <w:qFormat/>
    <w:uiPriority w:val="0"/>
    <w:pPr>
      <w:spacing w:after="120"/>
      <w:ind w:left="420" w:leftChars="200"/>
    </w:pPr>
    <w:rPr>
      <w:rFonts w:ascii="Times New Roman" w:hAnsi="Times New Roman"/>
      <w:kern w:val="0"/>
      <w:sz w:val="20"/>
      <w:szCs w:val="20"/>
    </w:r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8"/>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7"/>
    <w:qFormat/>
    <w:uiPriority w:val="99"/>
    <w:rPr>
      <w:rFonts w:ascii="Calibri" w:hAnsi="Calibri" w:eastAsia="宋体" w:cs="Times New Roman"/>
      <w:sz w:val="18"/>
      <w:szCs w:val="18"/>
    </w:rPr>
  </w:style>
  <w:style w:type="character" w:customStyle="1" w:styleId="13">
    <w:name w:val="页脚 字符"/>
    <w:basedOn w:val="10"/>
    <w:link w:val="6"/>
    <w:qFormat/>
    <w:uiPriority w:val="99"/>
    <w:rPr>
      <w:rFonts w:ascii="Calibri" w:hAnsi="Calibri" w:eastAsia="宋体" w:cs="Times New Roman"/>
      <w:sz w:val="18"/>
      <w:szCs w:val="18"/>
    </w:rPr>
  </w:style>
  <w:style w:type="character" w:customStyle="1" w:styleId="14">
    <w:name w:val="正文文本缩进 字符"/>
    <w:basedOn w:val="10"/>
    <w:link w:val="4"/>
    <w:qFormat/>
    <w:uiPriority w:val="0"/>
    <w:rPr>
      <w:rFonts w:ascii="Times New Roman" w:hAnsi="Times New Roman" w:eastAsia="宋体" w:cs="Times New Roman"/>
      <w:kern w:val="0"/>
      <w:sz w:val="20"/>
      <w:szCs w:val="20"/>
    </w:rPr>
  </w:style>
  <w:style w:type="character" w:customStyle="1" w:styleId="15">
    <w:name w:val="文档结构图 字符"/>
    <w:basedOn w:val="10"/>
    <w:link w:val="2"/>
    <w:semiHidden/>
    <w:qFormat/>
    <w:uiPriority w:val="99"/>
    <w:rPr>
      <w:rFonts w:ascii="宋体" w:hAnsi="Calibri" w:eastAsia="宋体" w:cs="Times New Roman"/>
      <w:sz w:val="18"/>
      <w:szCs w:val="18"/>
    </w:rPr>
  </w:style>
  <w:style w:type="character" w:customStyle="1" w:styleId="16">
    <w:name w:val="批注框文本 字符"/>
    <w:basedOn w:val="10"/>
    <w:link w:val="5"/>
    <w:semiHidden/>
    <w:qFormat/>
    <w:uiPriority w:val="99"/>
    <w:rPr>
      <w:rFonts w:ascii="Calibri" w:hAnsi="Calibri" w:eastAsia="宋体" w:cs="Times New Roman"/>
      <w:sz w:val="18"/>
      <w:szCs w:val="18"/>
    </w:rPr>
  </w:style>
  <w:style w:type="character" w:customStyle="1" w:styleId="17">
    <w:name w:val="批注文字 字符"/>
    <w:basedOn w:val="10"/>
    <w:link w:val="3"/>
    <w:semiHidden/>
    <w:qFormat/>
    <w:uiPriority w:val="99"/>
    <w:rPr>
      <w:rFonts w:ascii="Calibri" w:hAnsi="Calibri" w:eastAsia="宋体" w:cs="Times New Roman"/>
    </w:rPr>
  </w:style>
  <w:style w:type="character" w:customStyle="1" w:styleId="18">
    <w:name w:val="批注主题 字符"/>
    <w:basedOn w:val="17"/>
    <w:link w:val="8"/>
    <w:semiHidden/>
    <w:qFormat/>
    <w:uiPriority w:val="99"/>
    <w:rPr>
      <w:rFonts w:ascii="Calibri" w:hAnsi="Calibri" w:eastAsia="宋体" w:cs="Times New Roman"/>
      <w:b/>
      <w:bCs/>
    </w:rPr>
  </w:style>
  <w:style w:type="paragraph" w:customStyle="1" w:styleId="19">
    <w:name w:val="修订1"/>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1910</Words>
  <Characters>1943</Characters>
  <Lines>14</Lines>
  <Paragraphs>4</Paragraphs>
  <TotalTime>146</TotalTime>
  <ScaleCrop>false</ScaleCrop>
  <LinksUpToDate>false</LinksUpToDate>
  <CharactersWithSpaces>1947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2017-10-15T06:00:00Z</dcterms:created>
  <dc:creator>zhangyange</dc:creator>
  <cp:lastModifiedBy>张莹</cp:lastModifiedBy>
  <dcterms:modified xsi:type="dcterms:W3CDTF">2026-05-16T01:59:54Z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eyJoZGlkIjoiODQ3OTc0YWIwOWE5ZTcxZTY3ODFiYTMwNGZmMDdlOTkiLCJ1c2VySWQiOiIyNTU0NTY4OTUifQ==</vt:lpwstr>
  </property>
  <property fmtid="{D5CDD505-2E9C-101B-9397-08002B2CF9AE}" pid="4" name="ICV">
    <vt:lpwstr>869FAAF33DF14957B8DEA10BC99903DF_13</vt:lpwstr>
  </property>
</Properties>
</file>