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宋体" w:hAnsi="宋体" w:eastAsia="宋体" w:cs="宋体"/>
          <w:b/>
          <w:bCs/>
          <w:sz w:val="36"/>
          <w:szCs w:val="36"/>
        </w:rPr>
      </w:pPr>
      <w:r>
        <w:rPr>
          <w:rFonts w:hint="eastAsia" w:ascii="Times New Roman" w:eastAsia="宋体"/>
          <w:b/>
          <w:bCs/>
          <w:sz w:val="36"/>
          <w:szCs w:val="36"/>
        </w:rPr>
        <w:t>202</w:t>
      </w:r>
      <w:r>
        <w:rPr>
          <w:rFonts w:hint="eastAsia" w:ascii="Times New Roman" w:eastAsia="宋体"/>
          <w:b/>
          <w:bCs/>
          <w:sz w:val="36"/>
          <w:szCs w:val="36"/>
          <w:lang w:val="en-US" w:eastAsia="zh-CN"/>
        </w:rPr>
        <w:t>6</w:t>
      </w:r>
      <w:r>
        <w:rPr>
          <w:rFonts w:hint="eastAsia" w:ascii="Times New Roman" w:eastAsia="宋体"/>
          <w:b/>
          <w:bCs/>
          <w:sz w:val="36"/>
          <w:szCs w:val="36"/>
        </w:rPr>
        <w:t>年自然资源科学技术奖</w:t>
      </w:r>
      <w:r>
        <w:rPr>
          <w:rFonts w:hint="eastAsia" w:ascii="宋体" w:hAnsi="宋体" w:eastAsia="宋体" w:cs="宋体"/>
          <w:b/>
          <w:bCs/>
          <w:sz w:val="36"/>
          <w:szCs w:val="36"/>
        </w:rPr>
        <w:t>公示表</w:t>
      </w:r>
    </w:p>
    <w:p>
      <w:pPr>
        <w:jc w:val="center"/>
        <w:rPr>
          <w:rFonts w:hint="eastAsia" w:eastAsia="宋体"/>
          <w:sz w:val="36"/>
          <w:szCs w:val="36"/>
          <w:lang w:eastAsia="zh-CN"/>
        </w:rPr>
      </w:pPr>
      <w:r>
        <w:rPr>
          <w:rFonts w:hint="eastAsia" w:ascii="宋体" w:hAnsi="宋体" w:eastAsia="宋体" w:cs="宋体"/>
          <w:b/>
          <w:bCs/>
          <w:sz w:val="36"/>
          <w:szCs w:val="36"/>
          <w:lang w:eastAsia="zh-CN"/>
        </w:rPr>
        <w:t>（青年科技奖）</w:t>
      </w:r>
    </w:p>
    <w:p/>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2940"/>
        <w:gridCol w:w="945"/>
        <w:gridCol w:w="3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pPr>
              <w:adjustRightInd w:val="0"/>
              <w:snapToGrid w:val="0"/>
              <w:jc w:val="center"/>
              <w:rPr>
                <w:rFonts w:hint="eastAsia" w:ascii="仿宋" w:hAnsi="仿宋" w:eastAsia="仿宋"/>
                <w:b/>
                <w:bCs/>
                <w:lang w:eastAsia="zh-CN"/>
              </w:rPr>
            </w:pPr>
            <w:r>
              <w:rPr>
                <w:rFonts w:hint="eastAsia" w:ascii="仿宋" w:hAnsi="仿宋" w:eastAsia="仿宋"/>
                <w:b/>
                <w:bCs/>
                <w:lang w:eastAsia="zh-CN"/>
              </w:rPr>
              <w:t>被推荐人姓名</w:t>
            </w:r>
          </w:p>
        </w:tc>
        <w:tc>
          <w:tcPr>
            <w:tcW w:w="2940" w:type="dxa"/>
            <w:vAlign w:val="bottom"/>
          </w:tcPr>
          <w:p>
            <w:pPr>
              <w:spacing w:line="360" w:lineRule="auto"/>
              <w:jc w:val="center"/>
              <w:rPr>
                <w:rFonts w:hint="eastAsia" w:ascii="仿宋" w:hAnsi="仿宋" w:eastAsia="仿宋"/>
                <w:bCs/>
                <w:lang w:val="en-US" w:eastAsia="zh-CN"/>
              </w:rPr>
            </w:pPr>
            <w:r>
              <w:rPr>
                <w:rFonts w:hint="eastAsia" w:ascii="仿宋" w:hAnsi="仿宋" w:eastAsia="仿宋"/>
                <w:bCs/>
                <w:lang w:val="en-US" w:eastAsia="zh-CN"/>
              </w:rPr>
              <w:t>姜昊</w:t>
            </w:r>
          </w:p>
        </w:tc>
        <w:tc>
          <w:tcPr>
            <w:tcW w:w="945" w:type="dxa"/>
            <w:vAlign w:val="bottom"/>
          </w:tcPr>
          <w:p>
            <w:pPr>
              <w:spacing w:line="360" w:lineRule="auto"/>
              <w:jc w:val="center"/>
              <w:rPr>
                <w:rFonts w:hint="eastAsia" w:ascii="仿宋" w:hAnsi="仿宋" w:eastAsia="仿宋"/>
                <w:bCs/>
                <w:lang w:eastAsia="zh-CN"/>
              </w:rPr>
            </w:pPr>
            <w:r>
              <w:rPr>
                <w:rFonts w:hint="eastAsia" w:ascii="仿宋" w:hAnsi="仿宋" w:eastAsia="仿宋"/>
                <w:b/>
                <w:bCs w:val="0"/>
                <w:lang w:eastAsia="zh-CN"/>
              </w:rPr>
              <w:t>性别</w:t>
            </w:r>
          </w:p>
        </w:tc>
        <w:tc>
          <w:tcPr>
            <w:tcW w:w="3335" w:type="dxa"/>
            <w:vAlign w:val="bottom"/>
          </w:tcPr>
          <w:p>
            <w:pPr>
              <w:spacing w:line="360" w:lineRule="auto"/>
              <w:jc w:val="center"/>
              <w:rPr>
                <w:rFonts w:hint="eastAsia" w:ascii="仿宋" w:hAnsi="仿宋" w:eastAsia="仿宋"/>
                <w:bCs/>
                <w:lang w:val="en-US" w:eastAsia="zh-CN"/>
              </w:rPr>
            </w:pPr>
            <w:r>
              <w:rPr>
                <w:rFonts w:hint="eastAsia" w:ascii="仿宋" w:hAnsi="仿宋" w:eastAsia="仿宋"/>
                <w:bCs/>
                <w:lang w:val="en-US" w:eastAsia="zh-CN"/>
              </w:rPr>
              <w:t>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pPr>
              <w:adjustRightInd w:val="0"/>
              <w:snapToGrid w:val="0"/>
              <w:jc w:val="center"/>
              <w:rPr>
                <w:rFonts w:hint="eastAsia" w:ascii="仿宋" w:hAnsi="仿宋" w:eastAsia="仿宋"/>
                <w:b/>
                <w:bCs/>
                <w:lang w:eastAsia="zh-CN"/>
              </w:rPr>
            </w:pPr>
            <w:r>
              <w:rPr>
                <w:rFonts w:hint="eastAsia" w:ascii="仿宋" w:hAnsi="仿宋" w:eastAsia="仿宋"/>
                <w:b/>
                <w:bCs/>
                <w:lang w:eastAsia="zh-CN"/>
              </w:rPr>
              <w:t>出生年月</w:t>
            </w:r>
          </w:p>
        </w:tc>
        <w:tc>
          <w:tcPr>
            <w:tcW w:w="2940" w:type="dxa"/>
            <w:vAlign w:val="bottom"/>
          </w:tcPr>
          <w:p>
            <w:pPr>
              <w:spacing w:line="360" w:lineRule="auto"/>
              <w:jc w:val="center"/>
              <w:rPr>
                <w:rFonts w:hint="default" w:ascii="仿宋" w:hAnsi="仿宋" w:eastAsia="仿宋"/>
                <w:bCs/>
                <w:lang w:val="en-US" w:eastAsia="zh-CN"/>
              </w:rPr>
            </w:pPr>
            <w:r>
              <w:rPr>
                <w:rFonts w:hint="eastAsia" w:ascii="仿宋" w:hAnsi="仿宋" w:eastAsia="仿宋"/>
                <w:bCs/>
                <w:lang w:val="en-US" w:eastAsia="zh-CN"/>
              </w:rPr>
              <w:t>1983年2月</w:t>
            </w:r>
          </w:p>
        </w:tc>
        <w:tc>
          <w:tcPr>
            <w:tcW w:w="945" w:type="dxa"/>
            <w:vAlign w:val="bottom"/>
          </w:tcPr>
          <w:p>
            <w:pPr>
              <w:spacing w:line="360" w:lineRule="auto"/>
              <w:jc w:val="center"/>
              <w:rPr>
                <w:rFonts w:hint="eastAsia" w:ascii="仿宋" w:hAnsi="仿宋" w:eastAsia="仿宋"/>
                <w:bCs/>
                <w:lang w:eastAsia="zh-CN"/>
              </w:rPr>
            </w:pPr>
            <w:r>
              <w:rPr>
                <w:rFonts w:hint="eastAsia" w:ascii="仿宋" w:hAnsi="仿宋" w:eastAsia="仿宋"/>
                <w:b/>
                <w:bCs w:val="0"/>
                <w:lang w:eastAsia="zh-CN"/>
              </w:rPr>
              <w:t>党派</w:t>
            </w:r>
          </w:p>
        </w:tc>
        <w:tc>
          <w:tcPr>
            <w:tcW w:w="3335" w:type="dxa"/>
            <w:vAlign w:val="bottom"/>
          </w:tcPr>
          <w:p>
            <w:pPr>
              <w:spacing w:line="360" w:lineRule="auto"/>
              <w:jc w:val="center"/>
              <w:rPr>
                <w:rFonts w:hint="default" w:ascii="仿宋" w:hAnsi="仿宋" w:eastAsia="仿宋"/>
                <w:bCs/>
                <w:lang w:val="en-US" w:eastAsia="zh-CN"/>
              </w:rPr>
            </w:pPr>
            <w:r>
              <w:rPr>
                <w:rFonts w:hint="eastAsia" w:ascii="仿宋" w:hAnsi="仿宋" w:eastAsia="仿宋"/>
                <w:bCs/>
                <w:lang w:val="en-US" w:eastAsia="zh-CN"/>
              </w:rPr>
              <w:t>中国共产党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pPr>
              <w:adjustRightInd w:val="0"/>
              <w:snapToGrid w:val="0"/>
              <w:jc w:val="center"/>
              <w:rPr>
                <w:rFonts w:hint="eastAsia" w:ascii="仿宋" w:hAnsi="仿宋" w:eastAsia="仿宋"/>
                <w:b/>
                <w:bCs/>
                <w:lang w:eastAsia="zh-CN"/>
              </w:rPr>
            </w:pPr>
            <w:r>
              <w:rPr>
                <w:rFonts w:hint="eastAsia" w:ascii="仿宋" w:hAnsi="仿宋" w:eastAsia="仿宋"/>
                <w:b/>
                <w:bCs/>
                <w:lang w:eastAsia="zh-CN"/>
              </w:rPr>
              <w:t>单位及职务</w:t>
            </w:r>
          </w:p>
        </w:tc>
        <w:tc>
          <w:tcPr>
            <w:tcW w:w="7220" w:type="dxa"/>
            <w:gridSpan w:val="3"/>
            <w:vAlign w:val="bottom"/>
          </w:tcPr>
          <w:p>
            <w:pPr>
              <w:spacing w:line="360" w:lineRule="auto"/>
              <w:jc w:val="center"/>
              <w:rPr>
                <w:rFonts w:hint="default" w:ascii="仿宋" w:hAnsi="仿宋" w:eastAsia="仿宋"/>
                <w:bCs/>
                <w:lang w:val="en-US" w:eastAsia="zh-CN"/>
              </w:rPr>
            </w:pPr>
            <w:r>
              <w:rPr>
                <w:rFonts w:hint="eastAsia" w:ascii="仿宋" w:hAnsi="仿宋" w:eastAsia="仿宋"/>
                <w:bCs/>
                <w:lang w:val="en-US" w:eastAsia="zh-CN"/>
              </w:rPr>
              <w:t>水电水利规划设计总院有限公司，总经理助理、首席技术专家、部门主任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pPr>
              <w:adjustRightInd w:val="0"/>
              <w:snapToGrid w:val="0"/>
              <w:jc w:val="center"/>
              <w:rPr>
                <w:rFonts w:hint="eastAsia" w:ascii="仿宋" w:hAnsi="仿宋" w:eastAsia="仿宋"/>
                <w:b/>
                <w:bCs/>
                <w:lang w:eastAsia="zh-CN"/>
              </w:rPr>
            </w:pPr>
            <w:r>
              <w:rPr>
                <w:rFonts w:hint="eastAsia" w:ascii="仿宋" w:hAnsi="仿宋" w:eastAsia="仿宋"/>
                <w:b/>
                <w:bCs/>
                <w:lang w:eastAsia="zh-CN"/>
              </w:rPr>
              <w:t>专业、专长</w:t>
            </w:r>
          </w:p>
        </w:tc>
        <w:tc>
          <w:tcPr>
            <w:tcW w:w="7220" w:type="dxa"/>
            <w:gridSpan w:val="3"/>
            <w:vAlign w:val="bottom"/>
          </w:tcPr>
          <w:p>
            <w:pPr>
              <w:spacing w:line="360" w:lineRule="auto"/>
              <w:jc w:val="center"/>
              <w:rPr>
                <w:rFonts w:hint="default" w:ascii="仿宋" w:hAnsi="仿宋" w:eastAsia="仿宋"/>
                <w:bCs/>
                <w:lang w:val="en-US" w:eastAsia="zh-CN"/>
              </w:rPr>
            </w:pPr>
            <w:r>
              <w:rPr>
                <w:rFonts w:hint="eastAsia" w:ascii="仿宋" w:hAnsi="仿宋" w:eastAsia="仿宋"/>
                <w:bCs/>
                <w:lang w:val="en-US" w:eastAsia="zh-CN"/>
              </w:rPr>
              <w:t>水电工程生态环保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pPr>
              <w:adjustRightInd w:val="0"/>
              <w:snapToGrid w:val="0"/>
              <w:jc w:val="center"/>
              <w:rPr>
                <w:rFonts w:hint="eastAsia" w:ascii="仿宋" w:hAnsi="仿宋" w:eastAsia="仿宋"/>
                <w:b/>
                <w:bCs/>
                <w:lang w:eastAsia="zh-CN"/>
              </w:rPr>
            </w:pPr>
            <w:r>
              <w:rPr>
                <w:rFonts w:hint="eastAsia" w:ascii="仿宋" w:hAnsi="仿宋" w:eastAsia="仿宋"/>
                <w:b/>
                <w:bCs/>
                <w:lang w:eastAsia="zh-CN"/>
              </w:rPr>
              <w:t>技术职称</w:t>
            </w:r>
          </w:p>
        </w:tc>
        <w:tc>
          <w:tcPr>
            <w:tcW w:w="7220" w:type="dxa"/>
            <w:gridSpan w:val="3"/>
            <w:vAlign w:val="bottom"/>
          </w:tcPr>
          <w:p>
            <w:pPr>
              <w:spacing w:line="360" w:lineRule="auto"/>
              <w:jc w:val="center"/>
              <w:rPr>
                <w:rFonts w:hint="default" w:ascii="仿宋" w:hAnsi="仿宋" w:eastAsia="仿宋"/>
                <w:bCs/>
                <w:lang w:val="en-US" w:eastAsia="zh-CN"/>
              </w:rPr>
            </w:pPr>
            <w:r>
              <w:rPr>
                <w:rFonts w:hint="eastAsia" w:ascii="仿宋" w:hAnsi="仿宋" w:eastAsia="仿宋"/>
                <w:bCs/>
                <w:lang w:val="en-US" w:eastAsia="zh-CN"/>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pPr>
              <w:adjustRightInd w:val="0"/>
              <w:snapToGrid w:val="0"/>
              <w:jc w:val="center"/>
              <w:rPr>
                <w:rFonts w:hint="eastAsia" w:ascii="仿宋" w:hAnsi="仿宋" w:eastAsia="仿宋"/>
                <w:b/>
                <w:bCs/>
                <w:lang w:eastAsia="zh-CN"/>
              </w:rPr>
            </w:pPr>
            <w:r>
              <w:rPr>
                <w:rFonts w:hint="eastAsia" w:ascii="仿宋" w:hAnsi="仿宋" w:eastAsia="仿宋"/>
                <w:b/>
                <w:bCs/>
                <w:lang w:eastAsia="zh-CN"/>
              </w:rPr>
              <w:t>文化程度及最高学位</w:t>
            </w:r>
          </w:p>
        </w:tc>
        <w:tc>
          <w:tcPr>
            <w:tcW w:w="7220" w:type="dxa"/>
            <w:gridSpan w:val="3"/>
            <w:vAlign w:val="bottom"/>
          </w:tcPr>
          <w:p>
            <w:pPr>
              <w:spacing w:line="360" w:lineRule="auto"/>
              <w:jc w:val="center"/>
              <w:rPr>
                <w:rFonts w:hint="default" w:ascii="仿宋" w:hAnsi="仿宋" w:eastAsia="仿宋"/>
                <w:bCs/>
                <w:lang w:val="en-US" w:eastAsia="zh-CN"/>
              </w:rPr>
            </w:pPr>
            <w:r>
              <w:rPr>
                <w:rFonts w:hint="eastAsia" w:ascii="仿宋" w:hAnsi="仿宋" w:eastAsia="仿宋"/>
                <w:bCs/>
                <w:lang w:val="en-US" w:eastAsia="zh-CN"/>
              </w:rPr>
              <w:t>博士研究生</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244" w:type="dxa"/>
            <w:vAlign w:val="center"/>
          </w:tcPr>
          <w:p>
            <w:pPr>
              <w:adjustRightInd w:val="0"/>
              <w:snapToGrid w:val="0"/>
              <w:jc w:val="center"/>
              <w:rPr>
                <w:rFonts w:ascii="仿宋" w:hAnsi="仿宋" w:eastAsia="仿宋"/>
                <w:b/>
                <w:bCs/>
              </w:rPr>
            </w:pPr>
            <w:r>
              <w:rPr>
                <w:rFonts w:hint="eastAsia" w:ascii="仿宋" w:hAnsi="仿宋" w:eastAsia="仿宋"/>
                <w:b/>
                <w:bCs/>
              </w:rPr>
              <w:t>申报奖项</w:t>
            </w:r>
          </w:p>
        </w:tc>
        <w:tc>
          <w:tcPr>
            <w:tcW w:w="7220" w:type="dxa"/>
            <w:gridSpan w:val="3"/>
            <w:vAlign w:val="bottom"/>
          </w:tcPr>
          <w:p>
            <w:pPr>
              <w:spacing w:line="360" w:lineRule="auto"/>
              <w:jc w:val="center"/>
              <w:rPr>
                <w:rFonts w:ascii="仿宋" w:hAnsi="仿宋" w:eastAsia="仿宋"/>
                <w:bCs/>
              </w:rPr>
            </w:pPr>
            <w:r>
              <w:rPr>
                <w:rFonts w:hint="eastAsia" w:ascii="仿宋" w:hAnsi="仿宋" w:eastAsia="仿宋"/>
                <w:bCs/>
                <w:lang w:val="en-US" w:eastAsia="zh-CN"/>
              </w:rPr>
              <w:t>2026年自然资源科学技术奖青年科技奖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2244" w:type="dxa"/>
            <w:vAlign w:val="center"/>
          </w:tcPr>
          <w:p>
            <w:pPr>
              <w:adjustRightInd w:val="0"/>
              <w:snapToGrid w:val="0"/>
              <w:jc w:val="center"/>
              <w:rPr>
                <w:rFonts w:ascii="仿宋" w:hAnsi="仿宋" w:eastAsia="仿宋"/>
                <w:b/>
                <w:bCs/>
              </w:rPr>
            </w:pPr>
            <w:r>
              <w:rPr>
                <w:rFonts w:hint="eastAsia" w:ascii="仿宋" w:hAnsi="仿宋" w:eastAsia="仿宋"/>
                <w:b/>
                <w:bCs/>
                <w:lang w:eastAsia="zh-CN"/>
              </w:rPr>
              <w:t>代表性成果</w:t>
            </w:r>
            <w:r>
              <w:rPr>
                <w:rFonts w:hint="eastAsia" w:ascii="仿宋" w:hAnsi="仿宋" w:eastAsia="仿宋"/>
                <w:b/>
                <w:bCs/>
              </w:rPr>
              <w:t>名称</w:t>
            </w:r>
          </w:p>
        </w:tc>
        <w:tc>
          <w:tcPr>
            <w:tcW w:w="7220" w:type="dxa"/>
            <w:gridSpan w:val="3"/>
            <w:vAlign w:val="center"/>
          </w:tcPr>
          <w:p>
            <w:pPr>
              <w:spacing w:line="240" w:lineRule="exact"/>
              <w:ind w:right="-20" w:firstLine="420" w:firstLineChars="200"/>
              <w:jc w:val="center"/>
              <w:rPr>
                <w:rFonts w:ascii="仿宋" w:hAnsi="仿宋" w:eastAsia="仿宋"/>
                <w:bCs/>
              </w:rPr>
            </w:pPr>
            <w:r>
              <w:rPr>
                <w:rFonts w:hint="eastAsia" w:ascii="仿宋" w:hAnsi="仿宋" w:eastAsia="仿宋"/>
                <w:bCs/>
                <w:lang w:val="en-US" w:eastAsia="zh-CN"/>
              </w:rPr>
              <w:t>复杂水域鱼类智能感知与快速评估关键技术及示范应用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244" w:type="dxa"/>
            <w:vAlign w:val="center"/>
          </w:tcPr>
          <w:p>
            <w:pPr>
              <w:snapToGrid w:val="0"/>
              <w:jc w:val="center"/>
              <w:rPr>
                <w:rFonts w:ascii="仿宋" w:hAnsi="仿宋" w:eastAsia="仿宋"/>
              </w:rPr>
            </w:pPr>
            <w:r>
              <w:rPr>
                <w:rFonts w:hint="eastAsia" w:ascii="仿宋" w:hAnsi="仿宋" w:eastAsia="仿宋"/>
                <w:b/>
                <w:bCs/>
              </w:rPr>
              <w:t>主要完成单位</w:t>
            </w:r>
          </w:p>
        </w:tc>
        <w:tc>
          <w:tcPr>
            <w:tcW w:w="7220" w:type="dxa"/>
            <w:gridSpan w:val="3"/>
            <w:vAlign w:val="center"/>
          </w:tcPr>
          <w:p>
            <w:pPr>
              <w:spacing w:line="240" w:lineRule="auto"/>
              <w:jc w:val="center"/>
              <w:rPr>
                <w:rFonts w:hint="eastAsia" w:ascii="仿宋" w:hAnsi="仿宋" w:eastAsia="仿宋"/>
                <w:bCs/>
                <w:lang w:val="en-US" w:eastAsia="zh-CN"/>
              </w:rPr>
            </w:pPr>
            <w:r>
              <w:rPr>
                <w:rFonts w:hint="eastAsia" w:ascii="仿宋" w:hAnsi="仿宋" w:eastAsia="仿宋"/>
                <w:bCs/>
                <w:lang w:val="en-US" w:eastAsia="zh-CN"/>
              </w:rPr>
              <w:t>水电水利规划设计总院有限公司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244" w:type="dxa"/>
            <w:vAlign w:val="center"/>
          </w:tcPr>
          <w:p>
            <w:pPr>
              <w:snapToGrid w:val="0"/>
              <w:jc w:val="center"/>
              <w:rPr>
                <w:rFonts w:ascii="仿宋" w:hAnsi="仿宋" w:eastAsia="仿宋"/>
                <w:b/>
                <w:bCs/>
              </w:rPr>
            </w:pPr>
            <w:r>
              <w:rPr>
                <w:rFonts w:hint="eastAsia" w:ascii="仿宋" w:hAnsi="仿宋" w:eastAsia="仿宋"/>
                <w:b/>
                <w:bCs/>
              </w:rPr>
              <w:t>主要完成人</w:t>
            </w:r>
          </w:p>
        </w:tc>
        <w:tc>
          <w:tcPr>
            <w:tcW w:w="7220" w:type="dxa"/>
            <w:gridSpan w:val="3"/>
            <w:vAlign w:val="center"/>
          </w:tcPr>
          <w:p>
            <w:pPr>
              <w:spacing w:line="240" w:lineRule="auto"/>
              <w:jc w:val="center"/>
              <w:rPr>
                <w:rFonts w:hint="default" w:ascii="仿宋" w:hAnsi="仿宋" w:eastAsia="仿宋"/>
                <w:bCs/>
                <w:lang w:val="en-US" w:eastAsia="zh-CN"/>
              </w:rPr>
            </w:pPr>
            <w:r>
              <w:rPr>
                <w:rFonts w:hint="eastAsia" w:ascii="仿宋" w:hAnsi="仿宋" w:eastAsia="仿宋"/>
                <w:bCs/>
                <w:lang w:val="en-US" w:eastAsia="zh-CN"/>
              </w:rPr>
              <w:t>姜昊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0" w:hRule="atLeast"/>
          <w:jc w:val="center"/>
        </w:trPr>
        <w:tc>
          <w:tcPr>
            <w:tcW w:w="2244" w:type="dxa"/>
            <w:vAlign w:val="center"/>
          </w:tcPr>
          <w:p>
            <w:pPr>
              <w:snapToGrid w:val="0"/>
              <w:jc w:val="center"/>
              <w:rPr>
                <w:rFonts w:ascii="仿宋" w:hAnsi="仿宋" w:eastAsia="仿宋"/>
                <w:b/>
                <w:bCs/>
              </w:rPr>
            </w:pPr>
            <w:r>
              <w:rPr>
                <w:rFonts w:ascii="仿宋" w:hAnsi="仿宋" w:eastAsia="仿宋"/>
                <w:b/>
                <w:bCs/>
              </w:rPr>
              <w:t>推荐意见</w:t>
            </w:r>
          </w:p>
        </w:tc>
        <w:tc>
          <w:tcPr>
            <w:tcW w:w="7220" w:type="dxa"/>
            <w:gridSpan w:val="3"/>
            <w:vAlign w:val="center"/>
          </w:tcPr>
          <w:p>
            <w:pPr>
              <w:spacing w:line="400" w:lineRule="exact"/>
              <w:ind w:firstLine="420" w:firstLineChars="200"/>
              <w:rPr>
                <w:rFonts w:hint="eastAsia" w:ascii="仿宋" w:hAnsi="仿宋" w:eastAsia="仿宋"/>
                <w:bCs/>
                <w:lang w:val="en-US" w:eastAsia="zh-CN"/>
              </w:rPr>
            </w:pPr>
            <w:r>
              <w:rPr>
                <w:rFonts w:hint="eastAsia" w:ascii="仿宋" w:hAnsi="仿宋" w:eastAsia="仿宋"/>
                <w:bCs/>
                <w:lang w:val="en-US" w:eastAsia="zh-CN"/>
              </w:rPr>
              <w:t>该成果围绕国家水生态监测与鱼类资源保护的重大需求，针对内陆水域鱼类监测长期依赖传统捕捞调查、难以连续观测和量化评估的技术瓶颈，成功研制了具有自主知识产权的水下低光高速多光谱智能光学传感器和超广角多波束声学传感器，构建了109种鱼类多模态特征基线数据库，提出了基于深度学习的鱼类智能识别算法，并在长江鱼类保护区、青海湖区及典型过鱼设施等多类型复杂场景完成了系统集成与长期运行验证。项目主编并颁布行业标准7项，授权发明专利44件，登记软件著作权14项，发表论文28篇。成果已在我国长江流域、青藏高原、西南水电基地等关键水域推广应用，为长江大保护、青海湖生态保护及水电工程鱼类保护措施效果评估提供了关键技术支撑，推动了鱼类监测技术从传统人工捕捞调查向声光智能连续监测的范式转变，社会效益和生态环境效益显著。该项目技术难度大、创新性强，研究成果具有自主知识产权，技术达到国际领先水平，对推动我国水生态监测技术智能化升级和水利水电行业绿色发展具有重要意义。同意推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7" w:hRule="atLeast"/>
          <w:jc w:val="center"/>
        </w:trPr>
        <w:tc>
          <w:tcPr>
            <w:tcW w:w="2244" w:type="dxa"/>
            <w:vAlign w:val="center"/>
          </w:tcPr>
          <w:p>
            <w:pPr>
              <w:snapToGrid w:val="0"/>
              <w:jc w:val="center"/>
              <w:rPr>
                <w:rFonts w:ascii="仿宋" w:hAnsi="仿宋" w:eastAsia="仿宋"/>
                <w:b/>
                <w:bCs/>
              </w:rPr>
            </w:pPr>
            <w:r>
              <w:rPr>
                <w:rFonts w:ascii="仿宋" w:hAnsi="仿宋" w:eastAsia="仿宋"/>
                <w:b/>
                <w:bCs/>
              </w:rPr>
              <w:t>成果简介</w:t>
            </w:r>
          </w:p>
        </w:tc>
        <w:tc>
          <w:tcPr>
            <w:tcW w:w="7220"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ascii="仿宋" w:hAnsi="仿宋" w:eastAsia="仿宋"/>
              </w:rPr>
            </w:pPr>
            <w:r>
              <w:rPr>
                <w:rFonts w:hint="eastAsia" w:ascii="仿宋" w:hAnsi="仿宋" w:eastAsia="仿宋"/>
                <w:bCs/>
                <w:lang w:val="en-US" w:eastAsia="zh-CN"/>
              </w:rPr>
              <w:t>该成果针对河湖库及水利水电工程复杂水域存在水体浑浊、水下成像质量差、传统鱼类监测依赖人工调查、效率低下等现实问题，开展装备、算法与应用系统全链条技术攻关。项目研发国产化智能光学监测装备，采用全局快门 CMOS与FPGA驱动架构实现 50fps 高速视频采集，搭载多光谱成像系统，成像均匀度不低于91%，整机国产化率达 97.46%，同时研制超广角多波束声学传感器样机，攻克动态聚焦波束形成关键技术，解决水下图像虚影、光线弱、水体浑浊、探测范围有限等技术难题；项目构建包含109种鱼类的多模态融合数据库，提出高斯隐特征随机投影风格迁移算法以及基于鱼体细粒度特征的YOLOv12改进网络，强化鳞片、体色等细节特征提取，鱼类最高识别准确率可达 100%，小体积鱼类目标检测准确率提升至 94%，可在100米测量范围内实现鱼群目标实时监测，超广角多波束声学传感器检测正确率达到 94.83%。在此基础上，项目创建面向河、湖、库、水利水电工程的多场景鱼类智能监测与评估系统，搭建集数据采集、清洗、存储、分析、评价与可视化于一体的业务管理平台，建成2个数据量不少于140万条的鱼类综合信息数据库，建立“感知-识别-评估”全链条技术方案与标准体系，实现了鱼类、水环境、气象等多源异构数据的时空汇聚、融合与标准化管理，完成鱼类资源状况和过鱼设施过鱼效果的多目标多层次快速评估，系统具备可嵌入、可移植以及跨流域扩展应用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2244" w:type="dxa"/>
            <w:vAlign w:val="center"/>
          </w:tcPr>
          <w:p>
            <w:pPr>
              <w:snapToGrid w:val="0"/>
              <w:jc w:val="center"/>
              <w:rPr>
                <w:rFonts w:ascii="仿宋" w:hAnsi="仿宋" w:eastAsia="仿宋"/>
                <w:b/>
                <w:bCs/>
              </w:rPr>
            </w:pPr>
            <w:r>
              <w:rPr>
                <w:rFonts w:ascii="仿宋" w:hAnsi="仿宋" w:eastAsia="仿宋"/>
                <w:b/>
                <w:bCs/>
              </w:rPr>
              <w:t>客观评价</w:t>
            </w:r>
          </w:p>
        </w:tc>
        <w:tc>
          <w:tcPr>
            <w:tcW w:w="7220"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ascii="仿宋" w:hAnsi="仿宋" w:eastAsia="仿宋"/>
              </w:rPr>
            </w:pPr>
            <w:r>
              <w:rPr>
                <w:rFonts w:hint="eastAsia" w:ascii="仿宋" w:hAnsi="仿宋" w:eastAsia="仿宋"/>
                <w:bCs/>
                <w:lang w:val="en-US" w:eastAsia="zh-CN"/>
              </w:rPr>
              <w:t>本项目成果经中国水力发电学会组织评价，专家组认定成果创新度高，经济社会与生态效益显著，推广前景广阔，整体达到国际领先水平；国家一级科技查新单位出具查新结论，证实相关理论与技术具备新颖性。系列自研传感器、数据库及智能算法经第三方技术检测，多项国产化指标、设备性能参数、鱼类识别精度与系统平台性能均达到设计指标，多模态感知终端及整套监测系统符合国家相关标准。项目成果已在长江、黄河上游、青海湖、大渡河、雅砻江、雅鲁藏布江等流域开展示范应用，部署自研声光监测设备139台套，推动鱼类监测模式转型升级，支撑水生态保护与绿色水电发展。成果应用案例获央视专题直播报道，社会示范效应突出；技术方案在欧盟、东盟国际交流中推介，为跨境流域鱼类生态监测提供中国方案，提升了我国水生生态智能监测领域国际影响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restart"/>
            <w:vAlign w:val="center"/>
          </w:tcPr>
          <w:p>
            <w:pPr>
              <w:snapToGrid w:val="0"/>
              <w:jc w:val="center"/>
              <w:rPr>
                <w:rFonts w:ascii="仿宋" w:hAnsi="仿宋" w:eastAsia="仿宋"/>
                <w:b/>
                <w:bCs/>
              </w:rPr>
            </w:pPr>
            <w:r>
              <w:rPr>
                <w:rFonts w:ascii="仿宋" w:hAnsi="仿宋" w:eastAsia="仿宋"/>
                <w:b/>
                <w:bCs/>
              </w:rPr>
              <w:t>主要知识产权目录</w:t>
            </w:r>
          </w:p>
        </w:tc>
        <w:tc>
          <w:tcPr>
            <w:tcW w:w="7220" w:type="dxa"/>
            <w:gridSpan w:val="3"/>
            <w:vAlign w:val="center"/>
          </w:tcPr>
          <w:p>
            <w:pPr>
              <w:pStyle w:val="4"/>
              <w:spacing w:line="240" w:lineRule="auto"/>
              <w:ind w:firstLine="0" w:firstLineChars="0"/>
              <w:jc w:val="left"/>
              <w:rPr>
                <w:rFonts w:hint="default" w:ascii="宋体" w:eastAsia="仿宋_GB2312"/>
                <w:color w:val="000000"/>
                <w:sz w:val="21"/>
                <w:szCs w:val="21"/>
                <w:lang w:val="en-US" w:eastAsia="zh-CN"/>
              </w:rPr>
            </w:pPr>
            <w:r>
              <w:rPr>
                <w:rFonts w:hint="eastAsia" w:ascii="Times New Roman" w:hAnsi="Times New Roman" w:eastAsia="仿宋_GB2312" w:cs="Times New Roman"/>
                <w:b w:val="0"/>
                <w:sz w:val="18"/>
                <w:szCs w:val="18"/>
                <w:lang w:val="en-US" w:eastAsia="zh-CN"/>
              </w:rPr>
              <w:t>发明专利，</w:t>
            </w:r>
            <w:r>
              <w:rPr>
                <w:rFonts w:hint="default" w:ascii="Times New Roman" w:hAnsi="Times New Roman" w:eastAsia="仿宋_GB2312" w:cs="Times New Roman"/>
                <w:b w:val="0"/>
                <w:sz w:val="18"/>
                <w:szCs w:val="18"/>
              </w:rPr>
              <w:t>一种多光谱成像的水下高速图像传感器及成像方法</w:t>
            </w:r>
            <w:r>
              <w:rPr>
                <w:rFonts w:hint="eastAsia" w:ascii="Times New Roman" w:hAnsi="Times New Roman" w:eastAsia="仿宋_GB2312" w:cs="Times New Roman"/>
                <w:b w:val="0"/>
                <w:sz w:val="18"/>
                <w:szCs w:val="18"/>
                <w:lang w:eastAsia="zh-CN"/>
              </w:rPr>
              <w:t>，</w:t>
            </w:r>
            <w:r>
              <w:rPr>
                <w:rFonts w:hint="default" w:ascii="Times New Roman" w:hAnsi="Times New Roman" w:eastAsia="仿宋_GB2312" w:cs="Times New Roman"/>
                <w:b w:val="0"/>
                <w:sz w:val="18"/>
                <w:szCs w:val="18"/>
              </w:rPr>
              <w:t>中国</w:t>
            </w:r>
            <w:r>
              <w:rPr>
                <w:rFonts w:hint="eastAsia" w:ascii="Times New Roman" w:hAnsi="Times New Roman" w:eastAsia="仿宋_GB2312" w:cs="Times New Roman"/>
                <w:b w:val="0"/>
                <w:sz w:val="18"/>
                <w:szCs w:val="18"/>
                <w:lang w:eastAsia="zh-CN"/>
              </w:rPr>
              <w:t>，</w:t>
            </w:r>
            <w:r>
              <w:rPr>
                <w:rFonts w:hint="default" w:ascii="Times New Roman" w:hAnsi="Times New Roman" w:eastAsia="仿宋_GB2312" w:cs="Times New Roman"/>
                <w:b w:val="0"/>
                <w:sz w:val="18"/>
                <w:szCs w:val="18"/>
              </w:rPr>
              <w:t>CN120091232B</w:t>
            </w:r>
            <w:r>
              <w:rPr>
                <w:rFonts w:hint="eastAsia" w:ascii="Times New Roman" w:hAnsi="Times New Roman" w:eastAsia="仿宋_GB2312" w:cs="Times New Roman"/>
                <w:b w:val="0"/>
                <w:sz w:val="18"/>
                <w:szCs w:val="18"/>
                <w:lang w:eastAsia="zh-CN"/>
              </w:rPr>
              <w:t>，</w:t>
            </w:r>
            <w:r>
              <w:rPr>
                <w:rFonts w:hint="eastAsia" w:ascii="Times New Roman" w:hAnsi="Times New Roman" w:eastAsia="仿宋_GB2312" w:cs="Times New Roman"/>
                <w:b w:val="0"/>
                <w:sz w:val="18"/>
                <w:szCs w:val="18"/>
                <w:lang w:val="en-US" w:eastAsia="zh-CN"/>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continue"/>
            <w:vAlign w:val="center"/>
          </w:tcPr>
          <w:p>
            <w:pPr>
              <w:snapToGrid w:val="0"/>
              <w:jc w:val="center"/>
              <w:rPr>
                <w:rFonts w:ascii="仿宋" w:hAnsi="仿宋" w:eastAsia="仿宋"/>
                <w:b/>
                <w:bCs/>
              </w:rPr>
            </w:pPr>
          </w:p>
        </w:tc>
        <w:tc>
          <w:tcPr>
            <w:tcW w:w="7220" w:type="dxa"/>
            <w:gridSpan w:val="3"/>
            <w:vAlign w:val="center"/>
          </w:tcPr>
          <w:p>
            <w:pPr>
              <w:pStyle w:val="4"/>
              <w:spacing w:line="240" w:lineRule="auto"/>
              <w:ind w:firstLine="0" w:firstLineChars="0"/>
              <w:jc w:val="left"/>
              <w:rPr>
                <w:rFonts w:ascii="宋体"/>
                <w:color w:val="000000"/>
                <w:sz w:val="21"/>
                <w:szCs w:val="21"/>
              </w:rPr>
            </w:pPr>
            <w:r>
              <w:rPr>
                <w:rFonts w:hint="eastAsia" w:ascii="Times New Roman" w:hAnsi="Times New Roman" w:eastAsia="仿宋_GB2312" w:cs="Times New Roman"/>
                <w:b w:val="0"/>
                <w:sz w:val="18"/>
                <w:szCs w:val="18"/>
                <w:lang w:val="en-US" w:eastAsia="zh-CN"/>
              </w:rPr>
              <w:t>发明专利，</w:t>
            </w:r>
            <w:r>
              <w:rPr>
                <w:rFonts w:hint="default" w:ascii="Times New Roman" w:hAnsi="Times New Roman" w:eastAsia="仿宋_GB2312" w:cs="Times New Roman"/>
                <w:b w:val="0"/>
                <w:sz w:val="18"/>
                <w:szCs w:val="18"/>
              </w:rPr>
              <w:t>一种提高鱼道过鱼效率的自反馈监测系统</w:t>
            </w:r>
            <w:r>
              <w:rPr>
                <w:rFonts w:hint="eastAsia" w:ascii="Times New Roman" w:hAnsi="Times New Roman" w:eastAsia="仿宋_GB2312" w:cs="Times New Roman"/>
                <w:b w:val="0"/>
                <w:sz w:val="18"/>
                <w:szCs w:val="18"/>
                <w:lang w:eastAsia="zh-CN"/>
              </w:rPr>
              <w:t>，</w:t>
            </w:r>
            <w:r>
              <w:rPr>
                <w:rFonts w:hint="default" w:ascii="Times New Roman" w:hAnsi="Times New Roman" w:eastAsia="仿宋_GB2312" w:cs="Times New Roman"/>
                <w:b w:val="0"/>
                <w:sz w:val="18"/>
                <w:szCs w:val="18"/>
              </w:rPr>
              <w:t>中国</w:t>
            </w:r>
            <w:r>
              <w:rPr>
                <w:rFonts w:hint="eastAsia" w:ascii="Times New Roman" w:hAnsi="Times New Roman" w:eastAsia="仿宋_GB2312" w:cs="Times New Roman"/>
                <w:b w:val="0"/>
                <w:sz w:val="18"/>
                <w:szCs w:val="18"/>
                <w:lang w:eastAsia="zh-CN"/>
              </w:rPr>
              <w:t>，</w:t>
            </w:r>
            <w:r>
              <w:rPr>
                <w:rFonts w:hint="default" w:ascii="Times New Roman" w:hAnsi="Times New Roman" w:eastAsia="仿宋_GB2312" w:cs="Times New Roman"/>
                <w:b w:val="0"/>
                <w:sz w:val="18"/>
                <w:szCs w:val="18"/>
              </w:rPr>
              <w:t>CN116397602B</w:t>
            </w:r>
            <w:r>
              <w:rPr>
                <w:rFonts w:hint="eastAsia" w:ascii="Times New Roman" w:hAnsi="Times New Roman" w:eastAsia="仿宋_GB2312" w:cs="Times New Roman"/>
                <w:b w:val="0"/>
                <w:sz w:val="18"/>
                <w:szCs w:val="18"/>
                <w:lang w:eastAsia="zh-CN"/>
              </w:rPr>
              <w:t>，</w:t>
            </w:r>
            <w:r>
              <w:rPr>
                <w:rFonts w:hint="eastAsia" w:ascii="Times New Roman" w:hAnsi="Times New Roman" w:eastAsia="仿宋_GB2312" w:cs="Times New Roman"/>
                <w:b w:val="0"/>
                <w:sz w:val="18"/>
                <w:szCs w:val="18"/>
                <w:lang w:val="en-US" w:eastAsia="zh-CN"/>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continue"/>
            <w:vAlign w:val="center"/>
          </w:tcPr>
          <w:p>
            <w:pPr>
              <w:snapToGrid w:val="0"/>
              <w:jc w:val="center"/>
              <w:rPr>
                <w:rFonts w:ascii="仿宋" w:hAnsi="仿宋" w:eastAsia="仿宋"/>
                <w:b/>
                <w:bCs/>
              </w:rPr>
            </w:pPr>
          </w:p>
        </w:tc>
        <w:tc>
          <w:tcPr>
            <w:tcW w:w="7220" w:type="dxa"/>
            <w:gridSpan w:val="3"/>
            <w:vAlign w:val="center"/>
          </w:tcPr>
          <w:p>
            <w:pPr>
              <w:pStyle w:val="4"/>
              <w:spacing w:line="240" w:lineRule="auto"/>
              <w:ind w:firstLine="0" w:firstLineChars="0"/>
              <w:jc w:val="left"/>
              <w:rPr>
                <w:rFonts w:ascii="宋体"/>
                <w:color w:val="000000"/>
                <w:sz w:val="21"/>
                <w:szCs w:val="21"/>
              </w:rPr>
            </w:pPr>
            <w:r>
              <w:rPr>
                <w:rFonts w:hint="eastAsia" w:ascii="Times New Roman" w:hAnsi="Times New Roman" w:eastAsia="仿宋_GB2312" w:cs="Times New Roman"/>
                <w:b w:val="0"/>
                <w:sz w:val="18"/>
                <w:szCs w:val="18"/>
                <w:lang w:val="en-US" w:eastAsia="zh-CN"/>
              </w:rPr>
              <w:t>发明专利，</w:t>
            </w:r>
            <w:r>
              <w:rPr>
                <w:rFonts w:hint="default" w:ascii="Times New Roman" w:hAnsi="Times New Roman" w:eastAsia="仿宋_GB2312" w:cs="Times New Roman"/>
                <w:b w:val="0"/>
                <w:sz w:val="18"/>
                <w:szCs w:val="18"/>
              </w:rPr>
              <w:t>一种进行鱼类趋性实验的装置</w:t>
            </w:r>
            <w:r>
              <w:rPr>
                <w:rFonts w:hint="eastAsia" w:ascii="Times New Roman" w:hAnsi="Times New Roman" w:eastAsia="仿宋_GB2312" w:cs="Times New Roman"/>
                <w:b w:val="0"/>
                <w:sz w:val="18"/>
                <w:szCs w:val="18"/>
                <w:lang w:eastAsia="zh-CN"/>
              </w:rPr>
              <w:t>，</w:t>
            </w:r>
            <w:r>
              <w:rPr>
                <w:rFonts w:hint="default" w:ascii="Times New Roman" w:hAnsi="Times New Roman" w:eastAsia="仿宋_GB2312" w:cs="Times New Roman"/>
                <w:b w:val="0"/>
                <w:sz w:val="18"/>
                <w:szCs w:val="18"/>
              </w:rPr>
              <w:t>中国</w:t>
            </w:r>
            <w:r>
              <w:rPr>
                <w:rFonts w:hint="eastAsia" w:ascii="Times New Roman" w:hAnsi="Times New Roman" w:eastAsia="仿宋_GB2312" w:cs="Times New Roman"/>
                <w:b w:val="0"/>
                <w:sz w:val="18"/>
                <w:szCs w:val="18"/>
                <w:lang w:eastAsia="zh-CN"/>
              </w:rPr>
              <w:t>，</w:t>
            </w:r>
            <w:r>
              <w:rPr>
                <w:rFonts w:hint="default" w:ascii="Times New Roman" w:hAnsi="Times New Roman" w:eastAsia="仿宋_GB2312" w:cs="Times New Roman"/>
                <w:b w:val="0"/>
                <w:sz w:val="18"/>
                <w:szCs w:val="18"/>
              </w:rPr>
              <w:t>CN120391377B</w:t>
            </w:r>
            <w:r>
              <w:rPr>
                <w:rFonts w:hint="eastAsia" w:ascii="Times New Roman" w:hAnsi="Times New Roman" w:eastAsia="仿宋_GB2312" w:cs="Times New Roman"/>
                <w:b w:val="0"/>
                <w:sz w:val="18"/>
                <w:szCs w:val="18"/>
                <w:lang w:eastAsia="zh-CN"/>
              </w:rPr>
              <w:t>，</w:t>
            </w:r>
            <w:r>
              <w:rPr>
                <w:rFonts w:hint="eastAsia" w:ascii="Times New Roman" w:hAnsi="Times New Roman" w:eastAsia="仿宋_GB2312" w:cs="Times New Roman"/>
                <w:b w:val="0"/>
                <w:sz w:val="18"/>
                <w:szCs w:val="18"/>
                <w:lang w:val="en-US" w:eastAsia="zh-CN"/>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continue"/>
            <w:vAlign w:val="center"/>
          </w:tcPr>
          <w:p>
            <w:pPr>
              <w:snapToGrid w:val="0"/>
              <w:jc w:val="center"/>
              <w:rPr>
                <w:rFonts w:ascii="仿宋" w:hAnsi="仿宋" w:eastAsia="仿宋"/>
                <w:b/>
                <w:bCs/>
              </w:rPr>
            </w:pPr>
          </w:p>
        </w:tc>
        <w:tc>
          <w:tcPr>
            <w:tcW w:w="7220" w:type="dxa"/>
            <w:gridSpan w:val="3"/>
            <w:vAlign w:val="center"/>
          </w:tcPr>
          <w:p>
            <w:pPr>
              <w:pStyle w:val="4"/>
              <w:spacing w:line="240" w:lineRule="auto"/>
              <w:ind w:firstLine="0" w:firstLineChars="0"/>
              <w:jc w:val="left"/>
              <w:rPr>
                <w:rFonts w:hint="default" w:ascii="宋体" w:eastAsia="仿宋_GB2312"/>
                <w:color w:val="000000"/>
                <w:sz w:val="21"/>
                <w:szCs w:val="21"/>
                <w:lang w:val="en-US" w:eastAsia="zh-CN"/>
              </w:rPr>
            </w:pPr>
            <w:r>
              <w:rPr>
                <w:rFonts w:hint="eastAsia" w:ascii="Times New Roman" w:hAnsi="Times New Roman" w:eastAsia="仿宋_GB2312" w:cs="Times New Roman"/>
                <w:b w:val="0"/>
                <w:sz w:val="18"/>
                <w:szCs w:val="18"/>
                <w:lang w:val="en-US" w:eastAsia="zh-CN"/>
              </w:rPr>
              <w:t>行业标准，</w:t>
            </w:r>
            <w:r>
              <w:rPr>
                <w:rFonts w:hint="default" w:ascii="Times New Roman" w:hAnsi="Times New Roman" w:eastAsia="仿宋_GB2312" w:cs="Times New Roman"/>
                <w:b w:val="0"/>
                <w:sz w:val="18"/>
                <w:szCs w:val="18"/>
              </w:rPr>
              <w:t>水电工程过鱼效果评估技术规程</w:t>
            </w:r>
            <w:r>
              <w:rPr>
                <w:rFonts w:hint="eastAsia" w:ascii="Times New Roman" w:hAnsi="Times New Roman" w:eastAsia="仿宋_GB2312" w:cs="Times New Roman"/>
                <w:b w:val="0"/>
                <w:sz w:val="18"/>
                <w:szCs w:val="18"/>
                <w:lang w:eastAsia="zh-CN"/>
              </w:rPr>
              <w:t>，</w:t>
            </w:r>
            <w:r>
              <w:rPr>
                <w:rFonts w:hint="eastAsia" w:ascii="Times New Roman" w:hAnsi="Times New Roman" w:eastAsia="仿宋_GB2312" w:cs="Times New Roman"/>
                <w:b w:val="0"/>
                <w:sz w:val="18"/>
                <w:szCs w:val="18"/>
                <w:lang w:val="en-US" w:eastAsia="zh-CN"/>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continue"/>
            <w:vAlign w:val="center"/>
          </w:tcPr>
          <w:p>
            <w:pPr>
              <w:snapToGrid w:val="0"/>
              <w:jc w:val="center"/>
              <w:rPr>
                <w:rFonts w:ascii="仿宋" w:hAnsi="仿宋" w:eastAsia="仿宋"/>
                <w:b/>
                <w:bCs/>
              </w:rPr>
            </w:pPr>
          </w:p>
        </w:tc>
        <w:tc>
          <w:tcPr>
            <w:tcW w:w="7220" w:type="dxa"/>
            <w:gridSpan w:val="3"/>
            <w:vAlign w:val="center"/>
          </w:tcPr>
          <w:p>
            <w:pPr>
              <w:pStyle w:val="4"/>
              <w:spacing w:line="240" w:lineRule="auto"/>
              <w:ind w:firstLine="0" w:firstLineChars="0"/>
              <w:jc w:val="left"/>
              <w:rPr>
                <w:rFonts w:ascii="宋体"/>
                <w:color w:val="000000"/>
                <w:sz w:val="21"/>
                <w:szCs w:val="21"/>
              </w:rPr>
            </w:pPr>
            <w:r>
              <w:rPr>
                <w:rFonts w:hint="eastAsia" w:ascii="Times New Roman" w:hAnsi="Times New Roman" w:eastAsia="仿宋_GB2312" w:cs="Times New Roman"/>
                <w:b w:val="0"/>
                <w:sz w:val="18"/>
                <w:szCs w:val="18"/>
                <w:lang w:val="en-US" w:eastAsia="zh-CN"/>
              </w:rPr>
              <w:t>行业标准，</w:t>
            </w:r>
            <w:r>
              <w:rPr>
                <w:rFonts w:hint="default" w:ascii="Times New Roman" w:hAnsi="Times New Roman" w:eastAsia="仿宋_GB2312" w:cs="Times New Roman"/>
                <w:b w:val="0"/>
                <w:sz w:val="18"/>
                <w:szCs w:val="18"/>
              </w:rPr>
              <w:t>水电工程鱼道设计规范</w:t>
            </w:r>
            <w:r>
              <w:rPr>
                <w:rFonts w:hint="eastAsia" w:ascii="Times New Roman" w:hAnsi="Times New Roman" w:eastAsia="仿宋_GB2312" w:cs="Times New Roman"/>
                <w:b w:val="0"/>
                <w:sz w:val="18"/>
                <w:szCs w:val="18"/>
                <w:lang w:eastAsia="zh-CN"/>
              </w:rPr>
              <w:t>，</w:t>
            </w:r>
            <w:r>
              <w:rPr>
                <w:rFonts w:hint="eastAsia" w:ascii="Times New Roman" w:hAnsi="Times New Roman" w:eastAsia="仿宋_GB2312" w:cs="Times New Roman"/>
                <w:b w:val="0"/>
                <w:sz w:val="18"/>
                <w:szCs w:val="18"/>
                <w:lang w:val="en-US" w:eastAsia="zh-CN"/>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continue"/>
            <w:vAlign w:val="center"/>
          </w:tcPr>
          <w:p>
            <w:pPr>
              <w:snapToGrid w:val="0"/>
              <w:jc w:val="center"/>
              <w:rPr>
                <w:rFonts w:ascii="仿宋" w:hAnsi="仿宋" w:eastAsia="仿宋"/>
                <w:b/>
                <w:bCs/>
              </w:rPr>
            </w:pPr>
          </w:p>
        </w:tc>
        <w:tc>
          <w:tcPr>
            <w:tcW w:w="7220" w:type="dxa"/>
            <w:gridSpan w:val="3"/>
            <w:vAlign w:val="center"/>
          </w:tcPr>
          <w:p>
            <w:pPr>
              <w:pStyle w:val="4"/>
              <w:spacing w:line="240" w:lineRule="auto"/>
              <w:ind w:firstLine="0" w:firstLineChars="0"/>
              <w:jc w:val="left"/>
              <w:rPr>
                <w:rFonts w:ascii="宋体"/>
                <w:color w:val="000000"/>
                <w:sz w:val="21"/>
                <w:szCs w:val="21"/>
              </w:rPr>
            </w:pPr>
            <w:r>
              <w:rPr>
                <w:rFonts w:hint="eastAsia" w:ascii="Times New Roman" w:hAnsi="Times New Roman" w:eastAsia="仿宋_GB2312" w:cs="Times New Roman"/>
                <w:b w:val="0"/>
                <w:sz w:val="18"/>
                <w:szCs w:val="18"/>
                <w:lang w:val="en-US" w:eastAsia="zh-CN"/>
              </w:rPr>
              <w:t>行业标准，</w:t>
            </w:r>
            <w:r>
              <w:rPr>
                <w:rFonts w:hint="default" w:ascii="Times New Roman" w:hAnsi="Times New Roman" w:eastAsia="仿宋_GB2312" w:cs="Times New Roman"/>
                <w:b w:val="0"/>
                <w:sz w:val="18"/>
                <w:szCs w:val="18"/>
              </w:rPr>
              <w:t>水电工程鱼类保护设备基本技术条件</w:t>
            </w:r>
            <w:r>
              <w:rPr>
                <w:rFonts w:hint="eastAsia" w:ascii="Times New Roman" w:hAnsi="Times New Roman" w:eastAsia="仿宋_GB2312" w:cs="Times New Roman"/>
                <w:b w:val="0"/>
                <w:sz w:val="18"/>
                <w:szCs w:val="18"/>
                <w:lang w:eastAsia="zh-CN"/>
              </w:rPr>
              <w:t>，</w:t>
            </w:r>
            <w:r>
              <w:rPr>
                <w:rFonts w:hint="eastAsia" w:ascii="Times New Roman" w:hAnsi="Times New Roman" w:eastAsia="仿宋_GB2312" w:cs="Times New Roman"/>
                <w:b w:val="0"/>
                <w:sz w:val="18"/>
                <w:szCs w:val="18"/>
                <w:lang w:val="en-US" w:eastAsia="zh-CN"/>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vMerge w:val="continue"/>
            <w:vAlign w:val="center"/>
          </w:tcPr>
          <w:p>
            <w:pPr>
              <w:snapToGrid w:val="0"/>
              <w:jc w:val="center"/>
              <w:rPr>
                <w:rFonts w:ascii="仿宋" w:hAnsi="仿宋" w:eastAsia="仿宋"/>
                <w:b/>
                <w:bCs/>
              </w:rPr>
            </w:pPr>
          </w:p>
        </w:tc>
        <w:tc>
          <w:tcPr>
            <w:tcW w:w="7220" w:type="dxa"/>
            <w:gridSpan w:val="3"/>
            <w:vAlign w:val="center"/>
          </w:tcPr>
          <w:p>
            <w:pPr>
              <w:pStyle w:val="4"/>
              <w:spacing w:line="240" w:lineRule="auto"/>
              <w:ind w:firstLine="0" w:firstLineChars="0"/>
              <w:jc w:val="left"/>
              <w:rPr>
                <w:rFonts w:hint="default" w:ascii="宋体" w:eastAsia="仿宋_GB2312"/>
                <w:color w:val="000000"/>
                <w:sz w:val="21"/>
                <w:szCs w:val="21"/>
                <w:lang w:val="en-US" w:eastAsia="zh-CN"/>
              </w:rPr>
            </w:pPr>
            <w:r>
              <w:rPr>
                <w:rFonts w:hint="default" w:ascii="Times New Roman" w:hAnsi="Times New Roman" w:eastAsia="仿宋_GB2312" w:cs="Times New Roman"/>
                <w:b w:val="0"/>
                <w:sz w:val="18"/>
                <w:szCs w:val="18"/>
              </w:rPr>
              <w:t>软件著作权</w:t>
            </w:r>
            <w:r>
              <w:rPr>
                <w:rFonts w:hint="eastAsia" w:ascii="Times New Roman" w:hAnsi="Times New Roman" w:eastAsia="仿宋_GB2312" w:cs="Times New Roman"/>
                <w:b w:val="0"/>
                <w:sz w:val="18"/>
                <w:szCs w:val="18"/>
                <w:lang w:eastAsia="zh-CN"/>
              </w:rPr>
              <w:t>，</w:t>
            </w:r>
            <w:r>
              <w:rPr>
                <w:rFonts w:hint="default" w:ascii="Times New Roman" w:hAnsi="Times New Roman" w:eastAsia="仿宋_GB2312" w:cs="Times New Roman"/>
                <w:b w:val="0"/>
                <w:sz w:val="18"/>
                <w:szCs w:val="18"/>
              </w:rPr>
              <w:t>过鱼设施过鱼效果快速评估软件</w:t>
            </w:r>
            <w:r>
              <w:rPr>
                <w:rFonts w:hint="default" w:ascii="Times New Roman" w:hAnsi="Times New Roman" w:eastAsia="仿宋_GB2312" w:cs="Times New Roman"/>
                <w:b w:val="0"/>
                <w:sz w:val="18"/>
                <w:szCs w:val="18"/>
                <w:lang w:val="en-US" w:eastAsia="zh-CN"/>
              </w:rPr>
              <w:t>V1.0</w:t>
            </w:r>
            <w:r>
              <w:rPr>
                <w:rFonts w:hint="eastAsia" w:ascii="Times New Roman" w:hAnsi="Times New Roman" w:eastAsia="仿宋_GB2312" w:cs="Times New Roman"/>
                <w:b w:val="0"/>
                <w:sz w:val="18"/>
                <w:szCs w:val="18"/>
                <w:lang w:val="en-US" w:eastAsia="zh-CN"/>
              </w:rPr>
              <w:t>，</w:t>
            </w:r>
            <w:r>
              <w:rPr>
                <w:rFonts w:hint="default" w:ascii="Times New Roman" w:hAnsi="Times New Roman" w:eastAsia="仿宋_GB2312" w:cs="Times New Roman"/>
                <w:b w:val="0"/>
                <w:sz w:val="18"/>
                <w:szCs w:val="18"/>
              </w:rPr>
              <w:t>2024SR0689194</w:t>
            </w:r>
            <w:r>
              <w:rPr>
                <w:rFonts w:hint="eastAsia" w:ascii="Times New Roman" w:hAnsi="Times New Roman" w:eastAsia="仿宋_GB2312" w:cs="Times New Roman"/>
                <w:b w:val="0"/>
                <w:sz w:val="18"/>
                <w:szCs w:val="18"/>
                <w:lang w:eastAsia="zh-CN"/>
              </w:rPr>
              <w:t>，</w:t>
            </w:r>
            <w:r>
              <w:rPr>
                <w:rFonts w:hint="eastAsia" w:ascii="Times New Roman" w:hAnsi="Times New Roman" w:eastAsia="仿宋_GB2312" w:cs="Times New Roman"/>
                <w:b w:val="0"/>
                <w:sz w:val="18"/>
                <w:szCs w:val="18"/>
                <w:lang w:val="en-US" w:eastAsia="zh-CN"/>
              </w:rPr>
              <w:t>排名1。</w:t>
            </w:r>
          </w:p>
        </w:tc>
      </w:tr>
    </w:tbl>
    <w:p>
      <w:pPr>
        <w:widowControl/>
        <w:jc w:val="left"/>
        <w:rPr>
          <w:rFonts w:ascii="仿宋" w:hAnsi="仿宋" w:eastAsia="仿宋" w:cs="Times New Roman"/>
          <w:sz w:val="32"/>
          <w:szCs w:val="32"/>
        </w:rPr>
      </w:pPr>
    </w:p>
    <w:sectPr>
      <w:footerReference r:id="rId3" w:type="default"/>
      <w:pgSz w:w="11906" w:h="16838"/>
      <w:pgMar w:top="1585" w:right="1134" w:bottom="1440" w:left="1701"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384175"/>
              <wp:effectExtent l="0" t="0" r="0" b="9525"/>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4035" cy="384175"/>
                      </a:xfrm>
                      <a:prstGeom prst="rect">
                        <a:avLst/>
                      </a:prstGeom>
                      <a:noFill/>
                      <a:ln>
                        <a:noFill/>
                      </a:ln>
                    </wps:spPr>
                    <wps:txbx>
                      <w:txbxContent>
                        <w:p>
                          <w:pPr>
                            <w:pStyle w:val="7"/>
                            <w:rPr>
                              <w:rStyle w:val="15"/>
                              <w:rFonts w:ascii="宋体" w:hAnsi="宋体" w:cs="宋体"/>
                              <w:sz w:val="28"/>
                              <w:szCs w:val="28"/>
                            </w:rPr>
                          </w:pPr>
                          <w:r>
                            <w:rPr>
                              <w:rFonts w:hint="eastAsia" w:ascii="宋体" w:hAnsi="宋体" w:cs="宋体"/>
                              <w:sz w:val="28"/>
                              <w:szCs w:val="28"/>
                            </w:rPr>
                            <w:fldChar w:fldCharType="begin"/>
                          </w:r>
                          <w:r>
                            <w:rPr>
                              <w:rStyle w:val="15"/>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5"/>
                              <w:rFonts w:ascii="宋体" w:hAnsi="宋体" w:cs="宋体"/>
                              <w:sz w:val="28"/>
                              <w:szCs w:val="28"/>
                            </w:rPr>
                            <w:t>- 1 -</w:t>
                          </w:r>
                          <w:r>
                            <w:rPr>
                              <w:rFonts w:hint="eastAsia" w:ascii="宋体" w:hAnsi="宋体" w:cs="宋体"/>
                              <w:sz w:val="28"/>
                              <w:szCs w:val="28"/>
                            </w:rPr>
                            <w:fldChar w:fldCharType="end"/>
                          </w:r>
                        </w:p>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30.25pt;width:42.05pt;mso-position-horizontal:outside;mso-position-horizontal-relative:margin;mso-wrap-style:none;z-index:251659264;mso-width-relative:page;mso-height-relative:page;" filled="f" stroked="f" coordsize="21600,21600" o:gfxdata="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eQ6dEAAAADAQAADwAAAAAAAAABACAAAAAiAAAAZHJz&#10;L2Rvd25yZXYueG1sUEsBAhQAFAAAAAgAh07iQL3oI0ILAgAAAgQAAA4AAAAAAAAAAQAgAAAAIAEA&#10;AGRycy9lMm9Eb2MueG1sUEsFBgAAAAAGAAYAWQEAAJ0FAAAAAA==&#10;">
              <v:fill on="f" focussize="0,0"/>
              <v:stroke on="f"/>
              <v:imagedata o:title=""/>
              <o:lock v:ext="edit" aspectratio="f"/>
              <v:textbox inset="0mm,0mm,0mm,0mm" style="mso-fit-shape-to-text:t;">
                <w:txbxContent>
                  <w:p>
                    <w:pPr>
                      <w:pStyle w:val="7"/>
                      <w:rPr>
                        <w:rStyle w:val="15"/>
                        <w:rFonts w:ascii="宋体" w:hAnsi="宋体" w:cs="宋体"/>
                        <w:sz w:val="28"/>
                        <w:szCs w:val="28"/>
                      </w:rPr>
                    </w:pPr>
                    <w:r>
                      <w:rPr>
                        <w:rFonts w:hint="eastAsia" w:ascii="宋体" w:hAnsi="宋体" w:cs="宋体"/>
                        <w:sz w:val="28"/>
                        <w:szCs w:val="28"/>
                      </w:rPr>
                      <w:fldChar w:fldCharType="begin"/>
                    </w:r>
                    <w:r>
                      <w:rPr>
                        <w:rStyle w:val="15"/>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5"/>
                        <w:rFonts w:ascii="宋体" w:hAnsi="宋体" w:cs="宋体"/>
                        <w:sz w:val="28"/>
                        <w:szCs w:val="28"/>
                      </w:rPr>
                      <w:t>- 1 -</w:t>
                    </w:r>
                    <w:r>
                      <w:rPr>
                        <w:rFonts w:hint="eastAsia" w:ascii="宋体" w:hAnsi="宋体" w:cs="宋体"/>
                        <w:sz w:val="28"/>
                        <w:szCs w:val="28"/>
                      </w:rPr>
                      <w:fldChar w:fldCharType="end"/>
                    </w:r>
                  </w:p>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95A"/>
    <w:rsid w:val="00003708"/>
    <w:rsid w:val="00036537"/>
    <w:rsid w:val="00080269"/>
    <w:rsid w:val="000959FC"/>
    <w:rsid w:val="00095A71"/>
    <w:rsid w:val="000B1C55"/>
    <w:rsid w:val="000C2908"/>
    <w:rsid w:val="000C2D2F"/>
    <w:rsid w:val="000D0155"/>
    <w:rsid w:val="000E5230"/>
    <w:rsid w:val="000E5B9A"/>
    <w:rsid w:val="000E640E"/>
    <w:rsid w:val="000F02CD"/>
    <w:rsid w:val="000F1EF7"/>
    <w:rsid w:val="001000CF"/>
    <w:rsid w:val="001023DA"/>
    <w:rsid w:val="00105906"/>
    <w:rsid w:val="00122C7E"/>
    <w:rsid w:val="001240B6"/>
    <w:rsid w:val="001241D6"/>
    <w:rsid w:val="001342E5"/>
    <w:rsid w:val="00145C70"/>
    <w:rsid w:val="00155455"/>
    <w:rsid w:val="001605A3"/>
    <w:rsid w:val="001749C9"/>
    <w:rsid w:val="001A2255"/>
    <w:rsid w:val="001C4FF0"/>
    <w:rsid w:val="001E5C71"/>
    <w:rsid w:val="001F4357"/>
    <w:rsid w:val="00225FBE"/>
    <w:rsid w:val="00232232"/>
    <w:rsid w:val="00271925"/>
    <w:rsid w:val="0027498D"/>
    <w:rsid w:val="002A1895"/>
    <w:rsid w:val="002A7752"/>
    <w:rsid w:val="002B55AD"/>
    <w:rsid w:val="002C7984"/>
    <w:rsid w:val="002D495A"/>
    <w:rsid w:val="002D5360"/>
    <w:rsid w:val="002D5421"/>
    <w:rsid w:val="002E11FC"/>
    <w:rsid w:val="002F2BA0"/>
    <w:rsid w:val="002F2E35"/>
    <w:rsid w:val="002F4BBF"/>
    <w:rsid w:val="0030207A"/>
    <w:rsid w:val="00304317"/>
    <w:rsid w:val="00324B95"/>
    <w:rsid w:val="00335243"/>
    <w:rsid w:val="00335CF6"/>
    <w:rsid w:val="003543E2"/>
    <w:rsid w:val="00355235"/>
    <w:rsid w:val="003618CB"/>
    <w:rsid w:val="00363B58"/>
    <w:rsid w:val="00363E73"/>
    <w:rsid w:val="003650B7"/>
    <w:rsid w:val="003A7B7F"/>
    <w:rsid w:val="003B1236"/>
    <w:rsid w:val="003C2D63"/>
    <w:rsid w:val="003D2823"/>
    <w:rsid w:val="0040006E"/>
    <w:rsid w:val="00405E74"/>
    <w:rsid w:val="0041300E"/>
    <w:rsid w:val="00424599"/>
    <w:rsid w:val="00424827"/>
    <w:rsid w:val="00430699"/>
    <w:rsid w:val="00431E48"/>
    <w:rsid w:val="00433CBE"/>
    <w:rsid w:val="00433E57"/>
    <w:rsid w:val="0044494F"/>
    <w:rsid w:val="00460169"/>
    <w:rsid w:val="00463562"/>
    <w:rsid w:val="00482F98"/>
    <w:rsid w:val="00496B4B"/>
    <w:rsid w:val="004A648A"/>
    <w:rsid w:val="004E7888"/>
    <w:rsid w:val="004F4CBD"/>
    <w:rsid w:val="005039CE"/>
    <w:rsid w:val="00511A13"/>
    <w:rsid w:val="00553AB5"/>
    <w:rsid w:val="00587609"/>
    <w:rsid w:val="0059566B"/>
    <w:rsid w:val="005D431C"/>
    <w:rsid w:val="005E415D"/>
    <w:rsid w:val="005F682D"/>
    <w:rsid w:val="00615181"/>
    <w:rsid w:val="006300A7"/>
    <w:rsid w:val="00632731"/>
    <w:rsid w:val="00644642"/>
    <w:rsid w:val="00655D5D"/>
    <w:rsid w:val="00664CFA"/>
    <w:rsid w:val="0067381B"/>
    <w:rsid w:val="00681E39"/>
    <w:rsid w:val="006A0A3B"/>
    <w:rsid w:val="006B2D1F"/>
    <w:rsid w:val="006E424B"/>
    <w:rsid w:val="007006CB"/>
    <w:rsid w:val="0070314F"/>
    <w:rsid w:val="0070359F"/>
    <w:rsid w:val="00737507"/>
    <w:rsid w:val="007440BD"/>
    <w:rsid w:val="00745B07"/>
    <w:rsid w:val="00750A5F"/>
    <w:rsid w:val="00760129"/>
    <w:rsid w:val="00764E0E"/>
    <w:rsid w:val="00771B00"/>
    <w:rsid w:val="007A3F49"/>
    <w:rsid w:val="007C3F02"/>
    <w:rsid w:val="00833442"/>
    <w:rsid w:val="00855137"/>
    <w:rsid w:val="00862230"/>
    <w:rsid w:val="00867DDF"/>
    <w:rsid w:val="008C4D62"/>
    <w:rsid w:val="008E103B"/>
    <w:rsid w:val="008E2821"/>
    <w:rsid w:val="008E51C8"/>
    <w:rsid w:val="008E5FBB"/>
    <w:rsid w:val="008E62F7"/>
    <w:rsid w:val="009008EC"/>
    <w:rsid w:val="0090784A"/>
    <w:rsid w:val="00917134"/>
    <w:rsid w:val="009244BA"/>
    <w:rsid w:val="00971049"/>
    <w:rsid w:val="009A152B"/>
    <w:rsid w:val="009A5C88"/>
    <w:rsid w:val="009A7D7D"/>
    <w:rsid w:val="009D17A3"/>
    <w:rsid w:val="009D2684"/>
    <w:rsid w:val="00A02EA1"/>
    <w:rsid w:val="00A03867"/>
    <w:rsid w:val="00A1386F"/>
    <w:rsid w:val="00A252D5"/>
    <w:rsid w:val="00A274C7"/>
    <w:rsid w:val="00A33ECC"/>
    <w:rsid w:val="00A57C25"/>
    <w:rsid w:val="00A633AF"/>
    <w:rsid w:val="00A65E1C"/>
    <w:rsid w:val="00A678D4"/>
    <w:rsid w:val="00A67E32"/>
    <w:rsid w:val="00A97562"/>
    <w:rsid w:val="00AC170F"/>
    <w:rsid w:val="00AD2762"/>
    <w:rsid w:val="00B0275B"/>
    <w:rsid w:val="00B240A2"/>
    <w:rsid w:val="00B272A4"/>
    <w:rsid w:val="00B42C5A"/>
    <w:rsid w:val="00B51B49"/>
    <w:rsid w:val="00B552F0"/>
    <w:rsid w:val="00B635BB"/>
    <w:rsid w:val="00B74063"/>
    <w:rsid w:val="00BB0B3C"/>
    <w:rsid w:val="00BE1749"/>
    <w:rsid w:val="00C01722"/>
    <w:rsid w:val="00C1503B"/>
    <w:rsid w:val="00C20356"/>
    <w:rsid w:val="00C257C6"/>
    <w:rsid w:val="00C32665"/>
    <w:rsid w:val="00C44DFC"/>
    <w:rsid w:val="00C53039"/>
    <w:rsid w:val="00C55FF8"/>
    <w:rsid w:val="00C57970"/>
    <w:rsid w:val="00C73ADE"/>
    <w:rsid w:val="00C75EAA"/>
    <w:rsid w:val="00C820B6"/>
    <w:rsid w:val="00C843BC"/>
    <w:rsid w:val="00CB39F1"/>
    <w:rsid w:val="00CB5904"/>
    <w:rsid w:val="00CC7207"/>
    <w:rsid w:val="00CD164C"/>
    <w:rsid w:val="00CD72C8"/>
    <w:rsid w:val="00CE1A19"/>
    <w:rsid w:val="00CE2CC4"/>
    <w:rsid w:val="00CF5837"/>
    <w:rsid w:val="00CF7CE1"/>
    <w:rsid w:val="00D26ED4"/>
    <w:rsid w:val="00D355DD"/>
    <w:rsid w:val="00D45130"/>
    <w:rsid w:val="00D62384"/>
    <w:rsid w:val="00D751DA"/>
    <w:rsid w:val="00D87781"/>
    <w:rsid w:val="00DD3ED9"/>
    <w:rsid w:val="00DD6041"/>
    <w:rsid w:val="00DE359E"/>
    <w:rsid w:val="00DF639F"/>
    <w:rsid w:val="00E05A72"/>
    <w:rsid w:val="00E14A76"/>
    <w:rsid w:val="00E30997"/>
    <w:rsid w:val="00E31DE2"/>
    <w:rsid w:val="00E32327"/>
    <w:rsid w:val="00E4298F"/>
    <w:rsid w:val="00E53BB5"/>
    <w:rsid w:val="00E67C35"/>
    <w:rsid w:val="00E720A6"/>
    <w:rsid w:val="00E872E7"/>
    <w:rsid w:val="00EE0600"/>
    <w:rsid w:val="00EF6A6C"/>
    <w:rsid w:val="00F22718"/>
    <w:rsid w:val="00F25AED"/>
    <w:rsid w:val="00F3258A"/>
    <w:rsid w:val="00F356EB"/>
    <w:rsid w:val="00F37536"/>
    <w:rsid w:val="00F44EAC"/>
    <w:rsid w:val="00F476D9"/>
    <w:rsid w:val="00F61182"/>
    <w:rsid w:val="00F95726"/>
    <w:rsid w:val="00F95AF7"/>
    <w:rsid w:val="00FB5165"/>
    <w:rsid w:val="00FE2312"/>
    <w:rsid w:val="00FF373A"/>
    <w:rsid w:val="1A0C3F9A"/>
    <w:rsid w:val="1C8B0931"/>
    <w:rsid w:val="2197632B"/>
    <w:rsid w:val="2B497878"/>
    <w:rsid w:val="2CE64315"/>
    <w:rsid w:val="54867AAF"/>
    <w:rsid w:val="56AA3947"/>
    <w:rsid w:val="5D941C30"/>
    <w:rsid w:val="662331F0"/>
    <w:rsid w:val="6BE10EA5"/>
    <w:rsid w:val="7E4B32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0"/>
    <w:pPr>
      <w:keepNext/>
      <w:jc w:val="center"/>
      <w:outlineLvl w:val="0"/>
    </w:pPr>
    <w:rPr>
      <w:rFonts w:ascii="仿宋_GB2312" w:hAnsi="Times New Roman" w:eastAsia="仿宋_GB2312" w:cs="Times New Roman"/>
      <w:kern w:val="0"/>
      <w:sz w:val="28"/>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9"/>
    <w:unhideWhenUsed/>
    <w:qFormat/>
    <w:uiPriority w:val="99"/>
    <w:pPr>
      <w:jc w:val="left"/>
    </w:pPr>
  </w:style>
  <w:style w:type="paragraph" w:styleId="4">
    <w:name w:val="Plain Text"/>
    <w:basedOn w:val="1"/>
    <w:link w:val="33"/>
    <w:qFormat/>
    <w:uiPriority w:val="0"/>
    <w:pPr>
      <w:spacing w:line="360" w:lineRule="auto"/>
      <w:ind w:firstLine="480" w:firstLineChars="200"/>
    </w:pPr>
    <w:rPr>
      <w:rFonts w:ascii="仿宋_GB2312" w:hAnsi="Times New Roman" w:eastAsia="宋体" w:cs="Times New Roman"/>
      <w:sz w:val="24"/>
      <w:szCs w:val="24"/>
    </w:rPr>
  </w:style>
  <w:style w:type="paragraph" w:styleId="5">
    <w:name w:val="Date"/>
    <w:basedOn w:val="1"/>
    <w:next w:val="1"/>
    <w:link w:val="20"/>
    <w:semiHidden/>
    <w:unhideWhenUsed/>
    <w:qFormat/>
    <w:uiPriority w:val="99"/>
    <w:pPr>
      <w:ind w:left="100" w:leftChars="2500"/>
    </w:pPr>
  </w:style>
  <w:style w:type="paragraph" w:styleId="6">
    <w:name w:val="Balloon Text"/>
    <w:basedOn w:val="1"/>
    <w:link w:val="26"/>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22"/>
    <w:unhideWhenUsed/>
    <w:qFormat/>
    <w:uiPriority w:val="99"/>
    <w:rPr>
      <w:b/>
      <w:bCs/>
      <w:szCs w:val="24"/>
    </w:rPr>
  </w:style>
  <w:style w:type="table" w:styleId="12">
    <w:name w:val="Table Grid"/>
    <w:basedOn w:val="11"/>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page number"/>
    <w:basedOn w:val="13"/>
    <w:qFormat/>
    <w:uiPriority w:val="0"/>
  </w:style>
  <w:style w:type="character" w:styleId="16">
    <w:name w:val="Hyperlink"/>
    <w:basedOn w:val="13"/>
    <w:unhideWhenUsed/>
    <w:qFormat/>
    <w:uiPriority w:val="99"/>
    <w:rPr>
      <w:color w:val="0000FF" w:themeColor="hyperlink"/>
      <w:u w:val="single"/>
      <w14:textFill>
        <w14:solidFill>
          <w14:schemeClr w14:val="hlink"/>
        </w14:solidFill>
      </w14:textFill>
    </w:rPr>
  </w:style>
  <w:style w:type="character" w:styleId="17">
    <w:name w:val="annotation reference"/>
    <w:unhideWhenUsed/>
    <w:qFormat/>
    <w:uiPriority w:val="99"/>
    <w:rPr>
      <w:sz w:val="21"/>
      <w:szCs w:val="21"/>
    </w:rPr>
  </w:style>
  <w:style w:type="character" w:customStyle="1" w:styleId="18">
    <w:name w:val="页眉 Char"/>
    <w:basedOn w:val="13"/>
    <w:link w:val="8"/>
    <w:qFormat/>
    <w:uiPriority w:val="99"/>
    <w:rPr>
      <w:sz w:val="18"/>
      <w:szCs w:val="18"/>
    </w:rPr>
  </w:style>
  <w:style w:type="character" w:customStyle="1" w:styleId="19">
    <w:name w:val="页脚 Char"/>
    <w:basedOn w:val="13"/>
    <w:link w:val="7"/>
    <w:qFormat/>
    <w:uiPriority w:val="99"/>
    <w:rPr>
      <w:sz w:val="18"/>
      <w:szCs w:val="18"/>
    </w:rPr>
  </w:style>
  <w:style w:type="character" w:customStyle="1" w:styleId="20">
    <w:name w:val="日期 Char"/>
    <w:basedOn w:val="13"/>
    <w:link w:val="5"/>
    <w:qFormat/>
    <w:uiPriority w:val="0"/>
  </w:style>
  <w:style w:type="character" w:customStyle="1" w:styleId="21">
    <w:name w:val="标题 1 Char"/>
    <w:basedOn w:val="13"/>
    <w:qFormat/>
    <w:uiPriority w:val="9"/>
    <w:rPr>
      <w:b/>
      <w:bCs/>
      <w:kern w:val="44"/>
      <w:sz w:val="44"/>
      <w:szCs w:val="44"/>
    </w:rPr>
  </w:style>
  <w:style w:type="character" w:customStyle="1" w:styleId="22">
    <w:name w:val="批注主题 Char1"/>
    <w:link w:val="10"/>
    <w:qFormat/>
    <w:uiPriority w:val="99"/>
    <w:rPr>
      <w:b/>
      <w:bCs/>
      <w:szCs w:val="24"/>
    </w:rPr>
  </w:style>
  <w:style w:type="character" w:customStyle="1" w:styleId="23">
    <w:name w:val="页眉 字符"/>
    <w:qFormat/>
    <w:uiPriority w:val="0"/>
    <w:rPr>
      <w:sz w:val="18"/>
      <w:szCs w:val="18"/>
    </w:rPr>
  </w:style>
  <w:style w:type="character" w:customStyle="1" w:styleId="24">
    <w:name w:val="页脚 字符"/>
    <w:qFormat/>
    <w:uiPriority w:val="99"/>
    <w:rPr>
      <w:sz w:val="18"/>
      <w:szCs w:val="18"/>
    </w:rPr>
  </w:style>
  <w:style w:type="character" w:customStyle="1" w:styleId="25">
    <w:name w:val="标题 1 Char1"/>
    <w:link w:val="2"/>
    <w:qFormat/>
    <w:uiPriority w:val="0"/>
    <w:rPr>
      <w:rFonts w:ascii="仿宋_GB2312" w:hAnsi="Times New Roman" w:eastAsia="仿宋_GB2312" w:cs="Times New Roman"/>
      <w:kern w:val="0"/>
      <w:sz w:val="28"/>
      <w:szCs w:val="20"/>
    </w:rPr>
  </w:style>
  <w:style w:type="character" w:customStyle="1" w:styleId="26">
    <w:name w:val="批注框文本 Char1"/>
    <w:link w:val="6"/>
    <w:qFormat/>
    <w:uiPriority w:val="99"/>
    <w:rPr>
      <w:sz w:val="18"/>
      <w:szCs w:val="18"/>
    </w:rPr>
  </w:style>
  <w:style w:type="character" w:customStyle="1" w:styleId="27">
    <w:name w:val="批注文字 字符"/>
    <w:semiHidden/>
    <w:qFormat/>
    <w:uiPriority w:val="99"/>
    <w:rPr>
      <w:kern w:val="2"/>
      <w:sz w:val="21"/>
      <w:szCs w:val="24"/>
    </w:rPr>
  </w:style>
  <w:style w:type="character" w:customStyle="1" w:styleId="28">
    <w:name w:val="font11"/>
    <w:qFormat/>
    <w:uiPriority w:val="0"/>
    <w:rPr>
      <w:rFonts w:hint="eastAsia" w:ascii="宋体" w:hAnsi="宋体" w:eastAsia="宋体" w:cs="宋体"/>
      <w:b/>
      <w:color w:val="000000"/>
      <w:sz w:val="32"/>
      <w:szCs w:val="32"/>
      <w:u w:val="none"/>
    </w:rPr>
  </w:style>
  <w:style w:type="character" w:customStyle="1" w:styleId="29">
    <w:name w:val="批注文字 Char"/>
    <w:basedOn w:val="13"/>
    <w:link w:val="3"/>
    <w:semiHidden/>
    <w:qFormat/>
    <w:uiPriority w:val="99"/>
  </w:style>
  <w:style w:type="character" w:customStyle="1" w:styleId="30">
    <w:name w:val="批注主题 Char"/>
    <w:basedOn w:val="29"/>
    <w:semiHidden/>
    <w:qFormat/>
    <w:uiPriority w:val="99"/>
    <w:rPr>
      <w:b/>
      <w:bCs/>
    </w:rPr>
  </w:style>
  <w:style w:type="character" w:customStyle="1" w:styleId="31">
    <w:name w:val="批注框文本 Char"/>
    <w:basedOn w:val="13"/>
    <w:semiHidden/>
    <w:qFormat/>
    <w:uiPriority w:val="99"/>
    <w:rPr>
      <w:sz w:val="18"/>
      <w:szCs w:val="18"/>
    </w:rPr>
  </w:style>
  <w:style w:type="paragraph" w:customStyle="1" w:styleId="32">
    <w:name w:val="日期1"/>
    <w:basedOn w:val="1"/>
    <w:next w:val="1"/>
    <w:qFormat/>
    <w:uiPriority w:val="0"/>
    <w:pPr>
      <w:ind w:left="100" w:leftChars="2500"/>
    </w:pPr>
    <w:rPr>
      <w:rFonts w:ascii="Times New Roman" w:hAnsi="Times New Roman" w:eastAsia="宋体" w:cs="Times New Roman"/>
      <w:szCs w:val="24"/>
    </w:rPr>
  </w:style>
  <w:style w:type="character" w:customStyle="1" w:styleId="33">
    <w:name w:val="纯文本 Char"/>
    <w:basedOn w:val="13"/>
    <w:link w:val="4"/>
    <w:qFormat/>
    <w:uiPriority w:val="0"/>
    <w:rPr>
      <w:rFonts w:ascii="仿宋_GB2312" w:hAnsi="Times New Roman" w:eastAsia="宋体" w:cs="Times New Roman"/>
      <w:sz w:val="24"/>
      <w:szCs w:val="24"/>
    </w:rPr>
  </w:style>
  <w:style w:type="paragraph" w:customStyle="1" w:styleId="34">
    <w:name w:val="Char"/>
    <w:basedOn w:val="1"/>
    <w:qFormat/>
    <w:uiPriority w:val="0"/>
    <w:pPr>
      <w:tabs>
        <w:tab w:val="left" w:pos="425"/>
      </w:tabs>
      <w:ind w:left="425" w:hanging="425"/>
    </w:pPr>
    <w:rPr>
      <w:rFonts w:ascii="Times New Roman" w:hAnsi="Times New Roman" w:eastAsia="宋体" w:cs="Times New Roman"/>
      <w:szCs w:val="24"/>
    </w:rPr>
  </w:style>
  <w:style w:type="paragraph" w:customStyle="1" w:styleId="35">
    <w:name w:val="列出段落1"/>
    <w:basedOn w:val="1"/>
    <w:qFormat/>
    <w:uiPriority w:val="0"/>
    <w:pPr>
      <w:ind w:firstLine="420" w:firstLineChars="200"/>
    </w:pPr>
    <w:rPr>
      <w:rFonts w:ascii="Calibri" w:hAnsi="Calibri" w:eastAsia="宋体" w:cs="Times New Roman"/>
    </w:rPr>
  </w:style>
  <w:style w:type="paragraph" w:styleId="36">
    <w:name w:val="List Paragraph"/>
    <w:basedOn w:val="1"/>
    <w:qFormat/>
    <w:uiPriority w:val="34"/>
    <w:pPr>
      <w:ind w:firstLine="420" w:firstLineChars="200"/>
    </w:pPr>
  </w:style>
  <w:style w:type="paragraph" w:customStyle="1" w:styleId="37">
    <w:name w:val="olistparagraph"/>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customStyle="1" w:styleId="38">
    <w:name w:val="onormal"/>
    <w:basedOn w:val="1"/>
    <w:qFormat/>
    <w:uiPriority w:val="0"/>
    <w:pPr>
      <w:spacing w:before="100" w:beforeAutospacing="1" w:after="100" w:afterAutospacing="1"/>
      <w:jc w:val="left"/>
    </w:pPr>
    <w:rPr>
      <w:rFonts w:ascii="Calibri" w:hAnsi="Calibri" w:eastAsia="宋体" w:cs="Times New Roman"/>
      <w:kern w:val="0"/>
      <w:sz w:val="24"/>
      <w:szCs w:val="24"/>
    </w:rPr>
  </w:style>
  <w:style w:type="character" w:customStyle="1" w:styleId="39">
    <w:name w:val="纯文本 Char1"/>
    <w:qFormat/>
    <w:locked/>
    <w:uiPriority w:val="0"/>
    <w:rPr>
      <w:rFonts w:hint="eastAsia" w:ascii="仿宋_GB2312" w:hAnsi="Calibri" w:eastAsia="仿宋_GB2312"/>
      <w:kern w:val="2"/>
      <w:sz w:val="24"/>
      <w:szCs w:val="24"/>
    </w:rPr>
  </w:style>
  <w:style w:type="paragraph" w:customStyle="1" w:styleId="40">
    <w:name w:val="sonormal"/>
    <w:basedOn w:val="1"/>
    <w:qFormat/>
    <w:uiPriority w:val="0"/>
    <w:pPr>
      <w:spacing w:before="100" w:beforeAutospacing="1" w:after="100" w:afterAutospacing="1"/>
      <w:jc w:val="left"/>
    </w:pPr>
    <w:rPr>
      <w:rFonts w:ascii="Calibri" w:hAnsi="Calibri" w:eastAsia="宋体"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hps</Company>
  <Pages>2</Pages>
  <Words>93</Words>
  <Characters>96</Characters>
  <Lines>16</Lines>
  <Paragraphs>4</Paragraphs>
  <TotalTime>11</TotalTime>
  <ScaleCrop>false</ScaleCrop>
  <LinksUpToDate>false</LinksUpToDate>
  <CharactersWithSpaces>96</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2024-05-21T06:29:00Z</dcterms:created>
  <dc:creator>宋莎莎</dc:creator>
  <cp:lastModifiedBy>徐珊霞</cp:lastModifiedBy>
  <cp:lastPrinted>2023-02-16T02:21:00Z</cp:lastPrinted>
  <dcterms:modified xsi:type="dcterms:W3CDTF">2026-09-17T03:10:13Z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eyJoZGlkIjoiMzU0ZGY0ZGI0NTQ4YjM0NTVlYTYyZDhiNzcyMTZlYmYiLCJ1c2VySWQiOiIyNDI2MzUwOTgifQ==</vt:lpwstr>
  </property>
  <property fmtid="{D5CDD505-2E9C-101B-9397-08002B2CF9AE}" pid="3" name="KSOProductBuildVer">
    <vt:lpwstr>2052-11.8.2.12118</vt:lpwstr>
  </property>
  <property fmtid="{D5CDD505-2E9C-101B-9397-08002B2CF9AE}" pid="4" name="ICV">
    <vt:lpwstr>573FAA350DFA4916A3B80F12BF8704CE_12</vt:lpwstr>
  </property>
</Properties>
</file>