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6D98D" w14:textId="77777777" w:rsidR="00620622" w:rsidRDefault="00000000">
      <w:pPr>
        <w:pStyle w:val="1"/>
        <w:rPr>
          <w:rFonts w:ascii="宋体" w:eastAsia="宋体" w:hAnsi="宋体" w:cs="宋体" w:hint="eastAsia"/>
          <w:b/>
          <w:bCs/>
          <w:sz w:val="36"/>
          <w:szCs w:val="36"/>
        </w:rPr>
      </w:pPr>
      <w:r>
        <w:rPr>
          <w:rFonts w:ascii="Times New Roman" w:eastAsia="宋体" w:hint="eastAsia"/>
          <w:b/>
          <w:bCs/>
          <w:sz w:val="36"/>
          <w:szCs w:val="36"/>
        </w:rPr>
        <w:t>2026</w:t>
      </w:r>
      <w:r>
        <w:rPr>
          <w:rFonts w:ascii="Times New Roman" w:eastAsia="宋体" w:hint="eastAsia"/>
          <w:b/>
          <w:bCs/>
          <w:sz w:val="36"/>
          <w:szCs w:val="36"/>
        </w:rPr>
        <w:t>年自然资源科学技术奖</w:t>
      </w:r>
      <w:r>
        <w:rPr>
          <w:rFonts w:ascii="宋体" w:eastAsia="宋体" w:hAnsi="宋体" w:cs="宋体" w:hint="eastAsia"/>
          <w:b/>
          <w:bCs/>
          <w:sz w:val="36"/>
          <w:szCs w:val="36"/>
        </w:rPr>
        <w:t>公示表</w:t>
      </w:r>
    </w:p>
    <w:p w14:paraId="6654BDED" w14:textId="77777777" w:rsidR="00620622" w:rsidRDefault="00000000">
      <w:pPr>
        <w:jc w:val="center"/>
        <w:rPr>
          <w:rFonts w:eastAsia="宋体"/>
          <w:sz w:val="36"/>
          <w:szCs w:val="36"/>
        </w:rPr>
      </w:pPr>
      <w:r>
        <w:rPr>
          <w:rFonts w:ascii="宋体" w:eastAsia="宋体" w:hAnsi="宋体" w:cs="宋体" w:hint="eastAsia"/>
          <w:b/>
          <w:bCs/>
          <w:sz w:val="36"/>
          <w:szCs w:val="36"/>
        </w:rPr>
        <w:t>（科技进步奖）</w:t>
      </w:r>
    </w:p>
    <w:p w14:paraId="5C0726C8" w14:textId="77777777" w:rsidR="00620622" w:rsidRDefault="00620622"/>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7849"/>
      </w:tblGrid>
      <w:tr w:rsidR="00620622" w14:paraId="113D0477" w14:textId="77777777">
        <w:trPr>
          <w:trHeight w:val="553"/>
          <w:jc w:val="center"/>
        </w:trPr>
        <w:tc>
          <w:tcPr>
            <w:tcW w:w="1615" w:type="dxa"/>
            <w:vAlign w:val="center"/>
          </w:tcPr>
          <w:p w14:paraId="19679FE6" w14:textId="77777777" w:rsidR="00620622" w:rsidRDefault="00000000">
            <w:pPr>
              <w:adjustRightInd w:val="0"/>
              <w:snapToGrid w:val="0"/>
              <w:jc w:val="center"/>
              <w:rPr>
                <w:rFonts w:ascii="仿宋" w:eastAsia="仿宋" w:hAnsi="仿宋" w:hint="eastAsia"/>
                <w:b/>
                <w:bCs/>
              </w:rPr>
            </w:pPr>
            <w:r>
              <w:rPr>
                <w:rFonts w:ascii="仿宋" w:eastAsia="仿宋" w:hAnsi="仿宋" w:hint="eastAsia"/>
                <w:b/>
                <w:bCs/>
              </w:rPr>
              <w:t>项目名称</w:t>
            </w:r>
          </w:p>
        </w:tc>
        <w:tc>
          <w:tcPr>
            <w:tcW w:w="7849" w:type="dxa"/>
            <w:vAlign w:val="bottom"/>
          </w:tcPr>
          <w:p w14:paraId="376DFAD8" w14:textId="4E009696" w:rsidR="00620622" w:rsidRDefault="007B6BE4">
            <w:pPr>
              <w:spacing w:line="360" w:lineRule="auto"/>
              <w:jc w:val="center"/>
              <w:rPr>
                <w:rFonts w:ascii="仿宋" w:eastAsia="仿宋" w:hAnsi="仿宋" w:hint="eastAsia"/>
                <w:bCs/>
              </w:rPr>
            </w:pPr>
            <w:r w:rsidRPr="007B6BE4">
              <w:rPr>
                <w:rFonts w:ascii="仿宋" w:eastAsia="仿宋" w:hAnsi="仿宋" w:hint="eastAsia"/>
                <w:bCs/>
              </w:rPr>
              <w:t>露天矿巨厚排土场风电场建设关键技术研究</w:t>
            </w:r>
          </w:p>
        </w:tc>
      </w:tr>
      <w:tr w:rsidR="00620622" w14:paraId="0E48B768" w14:textId="77777777">
        <w:trPr>
          <w:trHeight w:val="419"/>
          <w:jc w:val="center"/>
        </w:trPr>
        <w:tc>
          <w:tcPr>
            <w:tcW w:w="1615" w:type="dxa"/>
            <w:vAlign w:val="center"/>
          </w:tcPr>
          <w:p w14:paraId="6CE11475" w14:textId="77777777" w:rsidR="00620622" w:rsidRDefault="00000000">
            <w:pPr>
              <w:adjustRightInd w:val="0"/>
              <w:snapToGrid w:val="0"/>
              <w:jc w:val="center"/>
              <w:rPr>
                <w:rFonts w:ascii="仿宋" w:eastAsia="仿宋" w:hAnsi="仿宋" w:hint="eastAsia"/>
                <w:b/>
                <w:bCs/>
              </w:rPr>
            </w:pPr>
            <w:r>
              <w:rPr>
                <w:rFonts w:ascii="仿宋" w:eastAsia="仿宋" w:hAnsi="仿宋" w:hint="eastAsia"/>
                <w:b/>
                <w:bCs/>
              </w:rPr>
              <w:t>申报奖项</w:t>
            </w:r>
          </w:p>
        </w:tc>
        <w:tc>
          <w:tcPr>
            <w:tcW w:w="7849" w:type="dxa"/>
            <w:vAlign w:val="center"/>
          </w:tcPr>
          <w:p w14:paraId="11DAB46F" w14:textId="120AC8E9" w:rsidR="00620622" w:rsidRDefault="007B6BE4" w:rsidP="007B6BE4">
            <w:pPr>
              <w:spacing w:line="360" w:lineRule="auto"/>
              <w:jc w:val="center"/>
              <w:rPr>
                <w:rFonts w:ascii="仿宋" w:eastAsia="仿宋" w:hAnsi="仿宋" w:hint="eastAsia"/>
                <w:bCs/>
              </w:rPr>
            </w:pPr>
            <w:r w:rsidRPr="007B6BE4">
              <w:rPr>
                <w:rFonts w:ascii="仿宋" w:eastAsia="仿宋" w:hAnsi="仿宋" w:hint="eastAsia"/>
                <w:bCs/>
              </w:rPr>
              <w:t>自然资源科学技术奖</w:t>
            </w:r>
          </w:p>
        </w:tc>
      </w:tr>
      <w:tr w:rsidR="00620622" w14:paraId="452DFE1E" w14:textId="77777777">
        <w:trPr>
          <w:trHeight w:val="397"/>
          <w:jc w:val="center"/>
        </w:trPr>
        <w:tc>
          <w:tcPr>
            <w:tcW w:w="1615" w:type="dxa"/>
            <w:vAlign w:val="center"/>
          </w:tcPr>
          <w:p w14:paraId="16B0C349" w14:textId="77777777" w:rsidR="00620622" w:rsidRDefault="00000000">
            <w:pPr>
              <w:snapToGrid w:val="0"/>
              <w:jc w:val="center"/>
              <w:rPr>
                <w:rFonts w:ascii="仿宋" w:eastAsia="仿宋" w:hAnsi="仿宋" w:hint="eastAsia"/>
              </w:rPr>
            </w:pPr>
            <w:r>
              <w:rPr>
                <w:rFonts w:ascii="仿宋" w:eastAsia="仿宋" w:hAnsi="仿宋" w:hint="eastAsia"/>
                <w:b/>
                <w:bCs/>
              </w:rPr>
              <w:t>主要完成单位</w:t>
            </w:r>
          </w:p>
        </w:tc>
        <w:tc>
          <w:tcPr>
            <w:tcW w:w="7849" w:type="dxa"/>
            <w:vAlign w:val="center"/>
          </w:tcPr>
          <w:p w14:paraId="16408B55" w14:textId="295D17BB" w:rsidR="00620622" w:rsidRDefault="007B6BE4" w:rsidP="007B6BE4">
            <w:pPr>
              <w:spacing w:line="360" w:lineRule="auto"/>
              <w:jc w:val="center"/>
              <w:rPr>
                <w:rFonts w:ascii="宋体" w:hAnsi="宋体" w:hint="eastAsia"/>
                <w:szCs w:val="21"/>
              </w:rPr>
            </w:pPr>
            <w:r w:rsidRPr="007B6BE4">
              <w:rPr>
                <w:rFonts w:ascii="仿宋" w:eastAsia="仿宋" w:hAnsi="仿宋" w:hint="eastAsia"/>
                <w:bCs/>
              </w:rPr>
              <w:t>中国电建集团北京勘测设计研究院有限公司</w:t>
            </w:r>
          </w:p>
        </w:tc>
      </w:tr>
      <w:tr w:rsidR="00620622" w14:paraId="28CCB853" w14:textId="77777777">
        <w:trPr>
          <w:trHeight w:val="397"/>
          <w:jc w:val="center"/>
        </w:trPr>
        <w:tc>
          <w:tcPr>
            <w:tcW w:w="1615" w:type="dxa"/>
            <w:vAlign w:val="center"/>
          </w:tcPr>
          <w:p w14:paraId="107A8E42" w14:textId="77777777" w:rsidR="00620622" w:rsidRDefault="00000000">
            <w:pPr>
              <w:snapToGrid w:val="0"/>
              <w:jc w:val="center"/>
              <w:rPr>
                <w:rFonts w:ascii="仿宋" w:eastAsia="仿宋" w:hAnsi="仿宋" w:hint="eastAsia"/>
                <w:b/>
                <w:bCs/>
              </w:rPr>
            </w:pPr>
            <w:r>
              <w:rPr>
                <w:rFonts w:ascii="仿宋" w:eastAsia="仿宋" w:hAnsi="仿宋" w:hint="eastAsia"/>
                <w:b/>
                <w:bCs/>
              </w:rPr>
              <w:t>主要完成人</w:t>
            </w:r>
          </w:p>
        </w:tc>
        <w:tc>
          <w:tcPr>
            <w:tcW w:w="7849" w:type="dxa"/>
            <w:vAlign w:val="center"/>
          </w:tcPr>
          <w:p w14:paraId="7C6B2E9C" w14:textId="77777777" w:rsidR="006B534C" w:rsidRDefault="002A579D" w:rsidP="006B534C">
            <w:pPr>
              <w:spacing w:line="360" w:lineRule="auto"/>
              <w:jc w:val="left"/>
              <w:rPr>
                <w:rFonts w:ascii="仿宋" w:eastAsia="仿宋" w:hAnsi="仿宋" w:hint="eastAsia"/>
                <w:bCs/>
              </w:rPr>
            </w:pPr>
            <w:r w:rsidRPr="002A579D">
              <w:rPr>
                <w:rFonts w:ascii="仿宋" w:eastAsia="仿宋" w:hAnsi="仿宋" w:hint="eastAsia"/>
                <w:bCs/>
              </w:rPr>
              <w:t>齐本亮、周颖、齐志诚、李少朋、王中平、王友会、郝  伟、李进才、麻润杰、</w:t>
            </w:r>
          </w:p>
          <w:p w14:paraId="48B026C9" w14:textId="6D00B3A2" w:rsidR="00620622" w:rsidRDefault="002A579D" w:rsidP="006B534C">
            <w:pPr>
              <w:spacing w:line="360" w:lineRule="auto"/>
              <w:jc w:val="left"/>
              <w:rPr>
                <w:rFonts w:ascii="仿宋" w:eastAsia="仿宋" w:hAnsi="仿宋" w:hint="eastAsia"/>
                <w:bCs/>
              </w:rPr>
            </w:pPr>
            <w:r w:rsidRPr="002A579D">
              <w:rPr>
                <w:rFonts w:ascii="仿宋" w:eastAsia="仿宋" w:hAnsi="仿宋" w:hint="eastAsia"/>
                <w:bCs/>
              </w:rPr>
              <w:t>任怀梁、梁花荣、郑轶昕、杨海霞、苏芳、董雷</w:t>
            </w:r>
          </w:p>
        </w:tc>
      </w:tr>
      <w:tr w:rsidR="00620622" w14:paraId="5508368F" w14:textId="77777777">
        <w:trPr>
          <w:trHeight w:val="2655"/>
          <w:jc w:val="center"/>
        </w:trPr>
        <w:tc>
          <w:tcPr>
            <w:tcW w:w="1615" w:type="dxa"/>
            <w:vAlign w:val="center"/>
          </w:tcPr>
          <w:p w14:paraId="50C810AF" w14:textId="77777777" w:rsidR="00620622" w:rsidRDefault="00000000">
            <w:pPr>
              <w:snapToGrid w:val="0"/>
              <w:jc w:val="center"/>
              <w:rPr>
                <w:rFonts w:ascii="仿宋" w:eastAsia="仿宋" w:hAnsi="仿宋" w:hint="eastAsia"/>
                <w:b/>
                <w:bCs/>
              </w:rPr>
            </w:pPr>
            <w:r>
              <w:rPr>
                <w:rFonts w:ascii="仿宋" w:eastAsia="仿宋" w:hAnsi="仿宋"/>
                <w:b/>
                <w:bCs/>
              </w:rPr>
              <w:t>推荐意见</w:t>
            </w:r>
          </w:p>
        </w:tc>
        <w:tc>
          <w:tcPr>
            <w:tcW w:w="7849" w:type="dxa"/>
            <w:vAlign w:val="center"/>
          </w:tcPr>
          <w:p w14:paraId="718CA7FD" w14:textId="6EAE7CD7" w:rsidR="00B14202" w:rsidRPr="00B14202" w:rsidRDefault="00BD6633" w:rsidP="00B14202">
            <w:pPr>
              <w:autoSpaceDE w:val="0"/>
              <w:autoSpaceDN w:val="0"/>
              <w:adjustRightInd w:val="0"/>
              <w:spacing w:line="360" w:lineRule="atLeast"/>
              <w:ind w:firstLineChars="200" w:firstLine="420"/>
              <w:rPr>
                <w:rFonts w:ascii="仿宋" w:eastAsia="仿宋" w:hAnsi="仿宋" w:hint="eastAsia"/>
                <w:bCs/>
              </w:rPr>
            </w:pPr>
            <w:r w:rsidRPr="00BD6633">
              <w:rPr>
                <w:rFonts w:ascii="仿宋" w:eastAsia="仿宋" w:hAnsi="仿宋"/>
                <w:bCs/>
              </w:rPr>
              <w:t>该研究开发了适用于巨厚排土场风电场建设的综合技术和整体解决方案体系</w:t>
            </w:r>
            <w:r w:rsidR="00B14202">
              <w:rPr>
                <w:rFonts w:ascii="仿宋" w:eastAsia="仿宋" w:hAnsi="仿宋" w:hint="eastAsia"/>
                <w:bCs/>
              </w:rPr>
              <w:t>，</w:t>
            </w:r>
            <w:r w:rsidR="00B14202" w:rsidRPr="00B14202">
              <w:rPr>
                <w:rFonts w:ascii="仿宋" w:eastAsia="仿宋" w:hAnsi="仿宋"/>
                <w:bCs/>
              </w:rPr>
              <w:t>已在风力发电项目得到实施和应用。巨厚排土场无法在经济可行的前提下全部穿透处理，本</w:t>
            </w:r>
            <w:bookmarkStart w:id="0" w:name="OLE_LINK5"/>
            <w:r w:rsidR="00B14202" w:rsidRPr="00B14202">
              <w:rPr>
                <w:rFonts w:ascii="仿宋" w:eastAsia="仿宋" w:hAnsi="仿宋"/>
                <w:bCs/>
              </w:rPr>
              <w:t>研究</w:t>
            </w:r>
            <w:bookmarkEnd w:id="0"/>
            <w:r w:rsidR="00B14202" w:rsidRPr="00B14202">
              <w:rPr>
                <w:rFonts w:ascii="仿宋" w:eastAsia="仿宋" w:hAnsi="仿宋"/>
                <w:bCs/>
              </w:rPr>
              <w:t>首创了巨厚排土场风电机地基基础“有限深度地基处理+预置差异沉降调节”设计方法，</w:t>
            </w:r>
            <w:r w:rsidRPr="00BD6633">
              <w:rPr>
                <w:rFonts w:ascii="仿宋" w:eastAsia="仿宋" w:hAnsi="仿宋"/>
                <w:bCs/>
              </w:rPr>
              <w:t>确保一旦风电机基础在运行期发生不均匀沉降后，能够低成本快速的进行差异沉降调整，为巨厚排土场风电场安全运行提供了双重保障</w:t>
            </w:r>
            <w:r w:rsidR="00B14202">
              <w:rPr>
                <w:rFonts w:ascii="仿宋" w:eastAsia="仿宋" w:hAnsi="仿宋" w:hint="eastAsia"/>
                <w:bCs/>
              </w:rPr>
              <w:t>，</w:t>
            </w:r>
            <w:r w:rsidR="00B14202" w:rsidRPr="00B14202">
              <w:rPr>
                <w:rFonts w:ascii="仿宋" w:eastAsia="仿宋" w:hAnsi="仿宋"/>
                <w:bCs/>
              </w:rPr>
              <w:t>使得原本为风电场建设禁区的巨厚排土场开展风电建设成为可能，有效提高土地资源的利用率。</w:t>
            </w:r>
          </w:p>
          <w:p w14:paraId="2634DCD2" w14:textId="33C4203A" w:rsidR="00620622" w:rsidRPr="00B14202" w:rsidRDefault="00BD6633" w:rsidP="00B14202">
            <w:pPr>
              <w:autoSpaceDE w:val="0"/>
              <w:autoSpaceDN w:val="0"/>
              <w:adjustRightInd w:val="0"/>
              <w:spacing w:line="360" w:lineRule="atLeast"/>
              <w:ind w:firstLineChars="200" w:firstLine="420"/>
              <w:rPr>
                <w:rFonts w:ascii="仿宋" w:eastAsia="仿宋" w:hAnsi="仿宋" w:hint="eastAsia"/>
                <w:bCs/>
              </w:rPr>
            </w:pPr>
            <w:r w:rsidRPr="00BD6633">
              <w:rPr>
                <w:rFonts w:ascii="仿宋" w:eastAsia="仿宋" w:hAnsi="仿宋"/>
                <w:bCs/>
              </w:rPr>
              <w:t>该研究推广应用前景广阔</w:t>
            </w:r>
            <w:r w:rsidR="004C3720">
              <w:rPr>
                <w:rFonts w:ascii="仿宋" w:eastAsia="仿宋" w:hAnsi="仿宋" w:hint="eastAsia"/>
                <w:bCs/>
              </w:rPr>
              <w:t>，</w:t>
            </w:r>
            <w:r w:rsidR="00B14202">
              <w:rPr>
                <w:rFonts w:ascii="仿宋" w:eastAsia="仿宋" w:hAnsi="仿宋" w:hint="eastAsia"/>
                <w:bCs/>
              </w:rPr>
              <w:t>推荐申报</w:t>
            </w:r>
            <w:r w:rsidR="00B14202" w:rsidRPr="007B6BE4">
              <w:rPr>
                <w:rFonts w:ascii="仿宋" w:eastAsia="仿宋" w:hAnsi="仿宋" w:hint="eastAsia"/>
                <w:bCs/>
              </w:rPr>
              <w:t>自然资源科学技术奖</w:t>
            </w:r>
            <w:r w:rsidR="00B14202">
              <w:rPr>
                <w:rFonts w:ascii="仿宋" w:eastAsia="仿宋" w:hAnsi="仿宋" w:hint="eastAsia"/>
                <w:bCs/>
              </w:rPr>
              <w:t>。</w:t>
            </w:r>
          </w:p>
        </w:tc>
      </w:tr>
      <w:tr w:rsidR="00620622" w14:paraId="63F795C3" w14:textId="77777777">
        <w:trPr>
          <w:trHeight w:val="6936"/>
          <w:jc w:val="center"/>
        </w:trPr>
        <w:tc>
          <w:tcPr>
            <w:tcW w:w="1615" w:type="dxa"/>
            <w:vAlign w:val="center"/>
          </w:tcPr>
          <w:p w14:paraId="3721F6B9" w14:textId="77777777" w:rsidR="00620622" w:rsidRDefault="00000000">
            <w:pPr>
              <w:snapToGrid w:val="0"/>
              <w:jc w:val="center"/>
              <w:rPr>
                <w:rFonts w:ascii="仿宋" w:eastAsia="仿宋" w:hAnsi="仿宋" w:hint="eastAsia"/>
                <w:b/>
                <w:bCs/>
              </w:rPr>
            </w:pPr>
            <w:r>
              <w:rPr>
                <w:rFonts w:ascii="仿宋" w:eastAsia="仿宋" w:hAnsi="仿宋"/>
                <w:b/>
                <w:bCs/>
              </w:rPr>
              <w:t>成果简介</w:t>
            </w:r>
          </w:p>
        </w:tc>
        <w:tc>
          <w:tcPr>
            <w:tcW w:w="7849" w:type="dxa"/>
            <w:vAlign w:val="center"/>
          </w:tcPr>
          <w:p w14:paraId="59CF9812" w14:textId="3CE3325D" w:rsidR="002F0F26" w:rsidRDefault="002F0F26">
            <w:pPr>
              <w:spacing w:line="400" w:lineRule="exact"/>
              <w:ind w:firstLineChars="200" w:firstLine="420"/>
              <w:rPr>
                <w:rFonts w:ascii="仿宋" w:eastAsia="仿宋" w:hAnsi="仿宋" w:hint="eastAsia"/>
              </w:rPr>
            </w:pPr>
            <w:r w:rsidRPr="002F0F26">
              <w:rPr>
                <w:rFonts w:ascii="仿宋" w:eastAsia="仿宋" w:hAnsi="仿宋"/>
              </w:rPr>
              <w:t>1.课题来源与</w:t>
            </w:r>
            <w:r w:rsidR="00625584">
              <w:rPr>
                <w:rFonts w:ascii="仿宋" w:eastAsia="仿宋" w:hAnsi="仿宋" w:hint="eastAsia"/>
              </w:rPr>
              <w:t>意义</w:t>
            </w:r>
          </w:p>
          <w:p w14:paraId="0E763892" w14:textId="77777777" w:rsidR="00625584" w:rsidRPr="00625584" w:rsidRDefault="00625584" w:rsidP="00625584">
            <w:pPr>
              <w:spacing w:line="400" w:lineRule="exact"/>
              <w:ind w:firstLineChars="200" w:firstLine="420"/>
              <w:rPr>
                <w:rFonts w:ascii="仿宋" w:eastAsia="仿宋" w:hAnsi="仿宋" w:hint="eastAsia"/>
              </w:rPr>
            </w:pPr>
            <w:r w:rsidRPr="00625584">
              <w:rPr>
                <w:rFonts w:ascii="仿宋" w:eastAsia="仿宋" w:hAnsi="仿宋" w:hint="eastAsia"/>
              </w:rPr>
              <w:t>为了实现“双碳”的目标，新能源开发规模的不断扩大，陆上风电场建设面临土地资源稀缺的挑战。露天矿排土场回填厚度可达</w:t>
            </w:r>
            <w:r w:rsidRPr="00625584">
              <w:rPr>
                <w:rFonts w:ascii="仿宋" w:eastAsia="仿宋" w:hAnsi="仿宋"/>
              </w:rPr>
              <w:t>200m</w:t>
            </w:r>
            <w:r w:rsidRPr="00625584">
              <w:rPr>
                <w:rFonts w:ascii="仿宋" w:eastAsia="仿宋" w:hAnsi="仿宋" w:hint="eastAsia"/>
              </w:rPr>
              <w:t>以上，通常未得到有效利用造成土地闲置。国内外尚无在露天矿巨厚排土场建设风电场的工程先例。本项研究工作，不仅可盘活矿区自有闲置土地资源，推进清洁能源开发利用，也是新能源风电及岩土工程交叉学科的新课题，具有重要的研究价值。</w:t>
            </w:r>
          </w:p>
          <w:p w14:paraId="13AEED67" w14:textId="43F42177" w:rsidR="002F0F26" w:rsidRDefault="00625584">
            <w:pPr>
              <w:spacing w:line="400" w:lineRule="exact"/>
              <w:ind w:firstLineChars="200" w:firstLine="420"/>
              <w:rPr>
                <w:rFonts w:ascii="仿宋" w:eastAsia="仿宋" w:hAnsi="仿宋" w:hint="eastAsia"/>
              </w:rPr>
            </w:pPr>
            <w:r>
              <w:rPr>
                <w:rFonts w:ascii="仿宋" w:eastAsia="仿宋" w:hAnsi="仿宋" w:hint="eastAsia"/>
              </w:rPr>
              <w:t>2</w:t>
            </w:r>
            <w:r w:rsidR="002F0F26" w:rsidRPr="002F0F26">
              <w:rPr>
                <w:rFonts w:ascii="仿宋" w:eastAsia="仿宋" w:hAnsi="仿宋"/>
              </w:rPr>
              <w:t>.技术的创造新与先进性</w:t>
            </w:r>
          </w:p>
          <w:p w14:paraId="55108D78" w14:textId="035BE8F6" w:rsidR="002F0F26" w:rsidRDefault="002F0F26">
            <w:pPr>
              <w:spacing w:line="400" w:lineRule="exact"/>
              <w:ind w:firstLineChars="200" w:firstLine="420"/>
              <w:rPr>
                <w:rFonts w:ascii="仿宋" w:eastAsia="仿宋" w:hAnsi="仿宋" w:hint="eastAsia"/>
              </w:rPr>
            </w:pPr>
            <w:r w:rsidRPr="002F0F26">
              <w:rPr>
                <w:rFonts w:ascii="仿宋" w:eastAsia="仿宋" w:hAnsi="仿宋"/>
              </w:rPr>
              <w:t>1）首次提出了适用于露天矿巨厚排土场风电场建设的场地综合勘察方法和地质评价方法，实现了对排土场大面积地表沉降速率的有效评估，解决了露天矿巨厚排土场风电场建设场地选址、地质分级评价的难题。</w:t>
            </w:r>
          </w:p>
          <w:p w14:paraId="3EB0225E" w14:textId="0B1059C8" w:rsidR="002F0F26" w:rsidRDefault="002F0F26">
            <w:pPr>
              <w:spacing w:line="400" w:lineRule="exact"/>
              <w:ind w:firstLineChars="200" w:firstLine="420"/>
              <w:rPr>
                <w:rFonts w:ascii="仿宋" w:eastAsia="仿宋" w:hAnsi="仿宋" w:hint="eastAsia"/>
              </w:rPr>
            </w:pPr>
            <w:r w:rsidRPr="002F0F26">
              <w:rPr>
                <w:rFonts w:ascii="仿宋" w:eastAsia="仿宋" w:hAnsi="仿宋"/>
              </w:rPr>
              <w:t>2）首创了巨厚排土场风电机地基基础"有限深度地基处理+预置差异沉降调节"设计方法，通过对风荷载下风电机基础沉降和倾斜分析方法研究，采用超高能级分层强夯、水平加筋土垫层相结合的双向地基处理技术，实现了风电机地基有限深度内的地基处理，为巨厚排土场风电场提供了全生命周期有效解决方案。</w:t>
            </w:r>
          </w:p>
          <w:p w14:paraId="2CF6CCFB" w14:textId="0D50FD9D" w:rsidR="002F0F26" w:rsidRDefault="002F0F26">
            <w:pPr>
              <w:spacing w:line="400" w:lineRule="exact"/>
              <w:ind w:firstLineChars="200" w:firstLine="420"/>
              <w:rPr>
                <w:rFonts w:ascii="仿宋" w:eastAsia="仿宋" w:hAnsi="仿宋" w:hint="eastAsia"/>
              </w:rPr>
            </w:pPr>
            <w:r w:rsidRPr="002F0F26">
              <w:rPr>
                <w:rFonts w:ascii="仿宋" w:eastAsia="仿宋" w:hAnsi="仿宋"/>
              </w:rPr>
              <w:t>3）研发了风电机基础预置锚杆顶升调节和砂垫层振动液化调节的新方法，提供了运行期风电机基础在不均匀沉降工况下的主动调节方案，提高了巨厚排土场风电场建设的可靠性及适用性。</w:t>
            </w:r>
          </w:p>
          <w:p w14:paraId="2638BAE2" w14:textId="3B9B64CB" w:rsidR="002F0F26" w:rsidRDefault="00625584">
            <w:pPr>
              <w:spacing w:line="400" w:lineRule="exact"/>
              <w:ind w:firstLineChars="200" w:firstLine="420"/>
              <w:rPr>
                <w:rFonts w:ascii="仿宋" w:eastAsia="仿宋" w:hAnsi="仿宋" w:hint="eastAsia"/>
              </w:rPr>
            </w:pPr>
            <w:r>
              <w:rPr>
                <w:rFonts w:ascii="仿宋" w:eastAsia="仿宋" w:hAnsi="仿宋" w:hint="eastAsia"/>
              </w:rPr>
              <w:lastRenderedPageBreak/>
              <w:t>3</w:t>
            </w:r>
            <w:r w:rsidR="002F0F26" w:rsidRPr="002F0F26">
              <w:rPr>
                <w:rFonts w:ascii="仿宋" w:eastAsia="仿宋" w:hAnsi="仿宋"/>
              </w:rPr>
              <w:t>.技术的成熟度，适用范围和安全性</w:t>
            </w:r>
          </w:p>
          <w:p w14:paraId="33128097" w14:textId="48382122" w:rsidR="002F0F26" w:rsidRDefault="002F0F26">
            <w:pPr>
              <w:spacing w:line="400" w:lineRule="exact"/>
              <w:ind w:firstLineChars="200" w:firstLine="420"/>
              <w:rPr>
                <w:rFonts w:ascii="仿宋" w:eastAsia="仿宋" w:hAnsi="仿宋" w:hint="eastAsia"/>
              </w:rPr>
            </w:pPr>
            <w:r w:rsidRPr="002F0F26">
              <w:rPr>
                <w:rFonts w:ascii="仿宋" w:eastAsia="仿宋" w:hAnsi="仿宋"/>
              </w:rPr>
              <w:t>该技术适用于大厚度的排土场、采煤沉陷区等地形复杂和地质条件特殊的区域，该技术的成功应用，不仅显著提升风电基础设施的安全性与稳定性，还有效提高土地资源利用率，为全球清洁能源发展贡献力量。</w:t>
            </w:r>
          </w:p>
          <w:p w14:paraId="11054C4B" w14:textId="092B12F1" w:rsidR="002F0F26" w:rsidRDefault="00625584">
            <w:pPr>
              <w:spacing w:line="400" w:lineRule="exact"/>
              <w:ind w:firstLineChars="200" w:firstLine="420"/>
              <w:rPr>
                <w:rFonts w:ascii="仿宋" w:eastAsia="仿宋" w:hAnsi="仿宋" w:hint="eastAsia"/>
              </w:rPr>
            </w:pPr>
            <w:r>
              <w:rPr>
                <w:rFonts w:ascii="仿宋" w:eastAsia="仿宋" w:hAnsi="仿宋" w:hint="eastAsia"/>
              </w:rPr>
              <w:t>4</w:t>
            </w:r>
            <w:r w:rsidR="002F0F26" w:rsidRPr="002F0F26">
              <w:rPr>
                <w:rFonts w:ascii="仿宋" w:eastAsia="仿宋" w:hAnsi="仿宋"/>
              </w:rPr>
              <w:t>.历年获奖情况和研究意义</w:t>
            </w:r>
          </w:p>
          <w:p w14:paraId="743ABF44" w14:textId="5225ED85" w:rsidR="002F0F26" w:rsidRDefault="002F0F26">
            <w:pPr>
              <w:spacing w:line="400" w:lineRule="exact"/>
              <w:ind w:firstLineChars="200" w:firstLine="420"/>
              <w:rPr>
                <w:rFonts w:ascii="仿宋" w:eastAsia="仿宋" w:hAnsi="仿宋" w:hint="eastAsia"/>
              </w:rPr>
            </w:pPr>
            <w:r w:rsidRPr="002F0F26">
              <w:rPr>
                <w:rFonts w:ascii="仿宋" w:eastAsia="仿宋" w:hAnsi="仿宋"/>
              </w:rPr>
              <w:t>本研究获得2024年度中国电力建设协会、中国电力规划设计协会科技进步二等奖。</w:t>
            </w:r>
          </w:p>
          <w:p w14:paraId="2D02EAD4" w14:textId="1F757042" w:rsidR="00620622" w:rsidRDefault="002F0F26">
            <w:pPr>
              <w:spacing w:line="400" w:lineRule="exact"/>
              <w:ind w:firstLineChars="200" w:firstLine="420"/>
              <w:rPr>
                <w:rFonts w:ascii="仿宋" w:eastAsia="仿宋" w:hAnsi="仿宋" w:hint="eastAsia"/>
              </w:rPr>
            </w:pPr>
            <w:r w:rsidRPr="002F0F26">
              <w:rPr>
                <w:rFonts w:ascii="仿宋" w:eastAsia="仿宋" w:hAnsi="仿宋"/>
              </w:rPr>
              <w:t>本研究可盘活矿区自有闲置土地资源，积极推进矿产企业转型发展，着力推进清洁能源开发利用，在创造经济效益的同时具有良好的环境效益和社会效益，对我国能源结构的安全、清洁、高效转型具有重要的意义。</w:t>
            </w:r>
          </w:p>
        </w:tc>
      </w:tr>
      <w:tr w:rsidR="00620622" w14:paraId="301119DF" w14:textId="77777777">
        <w:trPr>
          <w:trHeight w:val="2399"/>
          <w:jc w:val="center"/>
        </w:trPr>
        <w:tc>
          <w:tcPr>
            <w:tcW w:w="1615" w:type="dxa"/>
            <w:vAlign w:val="center"/>
          </w:tcPr>
          <w:p w14:paraId="2C39565F" w14:textId="77777777" w:rsidR="00620622" w:rsidRDefault="00000000">
            <w:pPr>
              <w:snapToGrid w:val="0"/>
              <w:jc w:val="center"/>
              <w:rPr>
                <w:rFonts w:ascii="仿宋" w:eastAsia="仿宋" w:hAnsi="仿宋" w:hint="eastAsia"/>
                <w:b/>
                <w:bCs/>
              </w:rPr>
            </w:pPr>
            <w:r>
              <w:rPr>
                <w:rFonts w:ascii="仿宋" w:eastAsia="仿宋" w:hAnsi="仿宋"/>
                <w:b/>
                <w:bCs/>
              </w:rPr>
              <w:lastRenderedPageBreak/>
              <w:t>客观评价</w:t>
            </w:r>
          </w:p>
        </w:tc>
        <w:tc>
          <w:tcPr>
            <w:tcW w:w="7849" w:type="dxa"/>
            <w:vAlign w:val="center"/>
          </w:tcPr>
          <w:p w14:paraId="5D860CD8" w14:textId="77777777" w:rsidR="00620622" w:rsidRDefault="00F16DE8">
            <w:pPr>
              <w:spacing w:line="400" w:lineRule="exact"/>
              <w:ind w:firstLineChars="200" w:firstLine="420"/>
              <w:rPr>
                <w:rFonts w:ascii="仿宋" w:eastAsia="仿宋" w:hAnsi="仿宋" w:hint="eastAsia"/>
              </w:rPr>
            </w:pPr>
            <w:r w:rsidRPr="00F16DE8">
              <w:rPr>
                <w:rFonts w:ascii="仿宋" w:eastAsia="仿宋" w:hAnsi="仿宋"/>
              </w:rPr>
              <w:t>该关键技术成果已应用</w:t>
            </w:r>
            <w:r w:rsidR="00753FAB">
              <w:rPr>
                <w:rFonts w:ascii="仿宋" w:eastAsia="仿宋" w:hAnsi="仿宋" w:hint="eastAsia"/>
              </w:rPr>
              <w:t>于</w:t>
            </w:r>
            <w:r w:rsidRPr="00F16DE8">
              <w:rPr>
                <w:rFonts w:ascii="仿宋" w:eastAsia="仿宋" w:hAnsi="仿宋"/>
              </w:rPr>
              <w:t>风力发电项目</w:t>
            </w:r>
            <w:r>
              <w:rPr>
                <w:rFonts w:ascii="仿宋" w:eastAsia="仿宋" w:hAnsi="仿宋" w:hint="eastAsia"/>
              </w:rPr>
              <w:t>，</w:t>
            </w:r>
            <w:r w:rsidRPr="00F16DE8">
              <w:rPr>
                <w:rFonts w:ascii="仿宋" w:eastAsia="仿宋" w:hAnsi="仿宋"/>
              </w:rPr>
              <w:t>实现了勘察、监测、地基处理与风机基础的整体技术应用，盘活了矿区闲置土地资源，拓展了风电发展空间，具有显著的社会、经济和环境效益。</w:t>
            </w:r>
          </w:p>
          <w:p w14:paraId="2EB35002" w14:textId="14C72CB9" w:rsidR="0010588C" w:rsidRDefault="0012380F">
            <w:pPr>
              <w:spacing w:line="400" w:lineRule="exact"/>
              <w:ind w:firstLineChars="200" w:firstLine="420"/>
              <w:rPr>
                <w:rFonts w:ascii="仿宋" w:eastAsia="仿宋" w:hAnsi="仿宋" w:hint="eastAsia"/>
              </w:rPr>
            </w:pPr>
            <w:r>
              <w:rPr>
                <w:rFonts w:ascii="仿宋" w:eastAsia="仿宋" w:hAnsi="仿宋" w:hint="eastAsia"/>
              </w:rPr>
              <w:t>关键技术</w:t>
            </w:r>
            <w:r w:rsidR="00CF4C59">
              <w:rPr>
                <w:rFonts w:ascii="仿宋" w:eastAsia="仿宋" w:hAnsi="仿宋" w:hint="eastAsia"/>
              </w:rPr>
              <w:t>成果</w:t>
            </w:r>
            <w:r>
              <w:rPr>
                <w:rFonts w:ascii="仿宋" w:eastAsia="仿宋" w:hAnsi="仿宋" w:hint="eastAsia"/>
              </w:rPr>
              <w:t>评价结论</w:t>
            </w:r>
            <w:r w:rsidR="0010588C">
              <w:rPr>
                <w:rFonts w:ascii="仿宋" w:eastAsia="仿宋" w:hAnsi="仿宋" w:hint="eastAsia"/>
              </w:rPr>
              <w:t>：</w:t>
            </w:r>
            <w:r w:rsidR="00CF4C59" w:rsidRPr="00CF4C59">
              <w:rPr>
                <w:rFonts w:ascii="仿宋" w:eastAsia="仿宋" w:hAnsi="仿宋"/>
              </w:rPr>
              <w:t>该关键技术成果总体达到了国际领先水平</w:t>
            </w:r>
            <w:r w:rsidR="0010588C">
              <w:rPr>
                <w:rFonts w:ascii="仿宋" w:eastAsia="仿宋" w:hAnsi="仿宋" w:hint="eastAsia"/>
              </w:rPr>
              <w:t>。</w:t>
            </w:r>
          </w:p>
        </w:tc>
      </w:tr>
      <w:tr w:rsidR="00620622" w14:paraId="0F7B96C7" w14:textId="77777777">
        <w:trPr>
          <w:trHeight w:val="397"/>
          <w:jc w:val="center"/>
        </w:trPr>
        <w:tc>
          <w:tcPr>
            <w:tcW w:w="1615" w:type="dxa"/>
            <w:vMerge w:val="restart"/>
            <w:vAlign w:val="center"/>
          </w:tcPr>
          <w:p w14:paraId="1B1A3BE2" w14:textId="77777777" w:rsidR="00620622" w:rsidRDefault="00000000">
            <w:pPr>
              <w:snapToGrid w:val="0"/>
              <w:jc w:val="center"/>
              <w:rPr>
                <w:rFonts w:ascii="仿宋" w:eastAsia="仿宋" w:hAnsi="仿宋" w:hint="eastAsia"/>
                <w:b/>
                <w:bCs/>
              </w:rPr>
            </w:pPr>
            <w:r>
              <w:rPr>
                <w:rFonts w:ascii="仿宋" w:eastAsia="仿宋" w:hAnsi="仿宋"/>
                <w:b/>
                <w:bCs/>
              </w:rPr>
              <w:t>主要知识产权目录</w:t>
            </w:r>
          </w:p>
        </w:tc>
        <w:tc>
          <w:tcPr>
            <w:tcW w:w="7849" w:type="dxa"/>
            <w:vAlign w:val="center"/>
          </w:tcPr>
          <w:p w14:paraId="58780599" w14:textId="0603A513" w:rsidR="00620622" w:rsidRPr="009E51B4" w:rsidRDefault="00421760" w:rsidP="0066720B">
            <w:pPr>
              <w:spacing w:line="400" w:lineRule="exact"/>
              <w:rPr>
                <w:rFonts w:ascii="仿宋" w:eastAsia="仿宋" w:hAnsi="仿宋" w:hint="eastAsia"/>
              </w:rPr>
            </w:pPr>
            <w:r w:rsidRPr="009E51B4">
              <w:rPr>
                <w:rFonts w:ascii="仿宋" w:eastAsia="仿宋" w:hAnsi="仿宋" w:hint="eastAsia"/>
              </w:rPr>
              <w:t>《一种用于超厚层回填土的深层平板载荷原位测试方法》发明专利</w:t>
            </w:r>
          </w:p>
        </w:tc>
      </w:tr>
      <w:tr w:rsidR="00620622" w14:paraId="1B20B140" w14:textId="77777777">
        <w:trPr>
          <w:trHeight w:val="397"/>
          <w:jc w:val="center"/>
        </w:trPr>
        <w:tc>
          <w:tcPr>
            <w:tcW w:w="1615" w:type="dxa"/>
            <w:vMerge/>
            <w:vAlign w:val="center"/>
          </w:tcPr>
          <w:p w14:paraId="1353FBC1" w14:textId="77777777" w:rsidR="00620622" w:rsidRDefault="00620622">
            <w:pPr>
              <w:snapToGrid w:val="0"/>
              <w:jc w:val="center"/>
              <w:rPr>
                <w:rFonts w:ascii="仿宋" w:eastAsia="仿宋" w:hAnsi="仿宋" w:hint="eastAsia"/>
                <w:b/>
                <w:bCs/>
              </w:rPr>
            </w:pPr>
          </w:p>
        </w:tc>
        <w:tc>
          <w:tcPr>
            <w:tcW w:w="7849" w:type="dxa"/>
            <w:vAlign w:val="center"/>
          </w:tcPr>
          <w:p w14:paraId="17EDDC14" w14:textId="4CCF3004" w:rsidR="00620622" w:rsidRDefault="00421760" w:rsidP="0066720B">
            <w:pPr>
              <w:spacing w:line="400" w:lineRule="exact"/>
              <w:rPr>
                <w:rFonts w:ascii="宋体"/>
                <w:color w:val="000000"/>
                <w:szCs w:val="21"/>
              </w:rPr>
            </w:pPr>
            <w:r w:rsidRPr="009E51B4">
              <w:rPr>
                <w:rFonts w:ascii="仿宋" w:eastAsia="仿宋" w:hAnsi="仿宋" w:hint="eastAsia"/>
              </w:rPr>
              <w:t>《根据测风数据计算天然地基上风力发电机基础沉降和倾斜的方法》发明专利</w:t>
            </w:r>
          </w:p>
        </w:tc>
      </w:tr>
      <w:tr w:rsidR="00620622" w14:paraId="47102765" w14:textId="77777777">
        <w:trPr>
          <w:trHeight w:val="397"/>
          <w:jc w:val="center"/>
        </w:trPr>
        <w:tc>
          <w:tcPr>
            <w:tcW w:w="1615" w:type="dxa"/>
            <w:vMerge/>
            <w:vAlign w:val="center"/>
          </w:tcPr>
          <w:p w14:paraId="503CB0C0" w14:textId="77777777" w:rsidR="00620622" w:rsidRDefault="00620622">
            <w:pPr>
              <w:snapToGrid w:val="0"/>
              <w:jc w:val="center"/>
              <w:rPr>
                <w:rFonts w:ascii="仿宋" w:eastAsia="仿宋" w:hAnsi="仿宋" w:hint="eastAsia"/>
                <w:b/>
                <w:bCs/>
              </w:rPr>
            </w:pPr>
          </w:p>
        </w:tc>
        <w:tc>
          <w:tcPr>
            <w:tcW w:w="7849" w:type="dxa"/>
            <w:vAlign w:val="center"/>
          </w:tcPr>
          <w:p w14:paraId="4355A10C" w14:textId="4F914DEA" w:rsidR="00620622" w:rsidRPr="009E51B4" w:rsidRDefault="00421760" w:rsidP="0066720B">
            <w:pPr>
              <w:spacing w:line="400" w:lineRule="exact"/>
              <w:rPr>
                <w:rFonts w:ascii="仿宋" w:eastAsia="仿宋" w:hAnsi="仿宋" w:hint="eastAsia"/>
              </w:rPr>
            </w:pPr>
            <w:r w:rsidRPr="009E51B4">
              <w:rPr>
                <w:rFonts w:ascii="仿宋" w:eastAsia="仿宋" w:hAnsi="仿宋" w:hint="eastAsia"/>
              </w:rPr>
              <w:t>《一种调节运行期风力发电机基础差异沉降的调平装置》实用新型专利</w:t>
            </w:r>
          </w:p>
        </w:tc>
      </w:tr>
      <w:tr w:rsidR="00620622" w14:paraId="74B84EF3" w14:textId="77777777">
        <w:trPr>
          <w:trHeight w:val="397"/>
          <w:jc w:val="center"/>
        </w:trPr>
        <w:tc>
          <w:tcPr>
            <w:tcW w:w="1615" w:type="dxa"/>
            <w:vMerge/>
            <w:vAlign w:val="center"/>
          </w:tcPr>
          <w:p w14:paraId="51C425F5" w14:textId="77777777" w:rsidR="00620622" w:rsidRDefault="00620622">
            <w:pPr>
              <w:snapToGrid w:val="0"/>
              <w:jc w:val="center"/>
              <w:rPr>
                <w:rFonts w:ascii="仿宋" w:eastAsia="仿宋" w:hAnsi="仿宋" w:hint="eastAsia"/>
                <w:b/>
                <w:bCs/>
              </w:rPr>
            </w:pPr>
          </w:p>
        </w:tc>
        <w:tc>
          <w:tcPr>
            <w:tcW w:w="7849" w:type="dxa"/>
            <w:vAlign w:val="center"/>
          </w:tcPr>
          <w:p w14:paraId="6CF100CB" w14:textId="4F97FF99" w:rsidR="00620622" w:rsidRPr="009E51B4" w:rsidRDefault="00421760" w:rsidP="0066720B">
            <w:pPr>
              <w:spacing w:line="400" w:lineRule="exact"/>
              <w:rPr>
                <w:rFonts w:ascii="仿宋" w:eastAsia="仿宋" w:hAnsi="仿宋" w:hint="eastAsia"/>
              </w:rPr>
            </w:pPr>
            <w:r w:rsidRPr="009E51B4">
              <w:rPr>
                <w:rFonts w:ascii="仿宋" w:eastAsia="仿宋" w:hAnsi="仿宋"/>
              </w:rPr>
              <w:t>《一种调节运行期风力发电机基础差异沉降的调平装置》发明专利</w:t>
            </w:r>
          </w:p>
        </w:tc>
      </w:tr>
      <w:tr w:rsidR="00620622" w14:paraId="130BD0C0" w14:textId="77777777">
        <w:trPr>
          <w:trHeight w:val="397"/>
          <w:jc w:val="center"/>
        </w:trPr>
        <w:tc>
          <w:tcPr>
            <w:tcW w:w="1615" w:type="dxa"/>
            <w:vMerge/>
            <w:vAlign w:val="center"/>
          </w:tcPr>
          <w:p w14:paraId="5DB9ACFF" w14:textId="77777777" w:rsidR="00620622" w:rsidRDefault="00620622">
            <w:pPr>
              <w:snapToGrid w:val="0"/>
              <w:jc w:val="center"/>
              <w:rPr>
                <w:rFonts w:ascii="仿宋" w:eastAsia="仿宋" w:hAnsi="仿宋" w:hint="eastAsia"/>
                <w:b/>
                <w:bCs/>
              </w:rPr>
            </w:pPr>
          </w:p>
        </w:tc>
        <w:tc>
          <w:tcPr>
            <w:tcW w:w="7849" w:type="dxa"/>
            <w:vAlign w:val="center"/>
          </w:tcPr>
          <w:p w14:paraId="372EA20E" w14:textId="77777777" w:rsidR="00620622" w:rsidRDefault="00620622">
            <w:pPr>
              <w:pStyle w:val="a4"/>
              <w:spacing w:line="240" w:lineRule="auto"/>
              <w:ind w:firstLineChars="0" w:firstLine="0"/>
              <w:jc w:val="left"/>
              <w:rPr>
                <w:rFonts w:ascii="宋体"/>
                <w:color w:val="000000"/>
                <w:sz w:val="21"/>
                <w:szCs w:val="21"/>
              </w:rPr>
            </w:pPr>
          </w:p>
        </w:tc>
      </w:tr>
      <w:tr w:rsidR="00620622" w14:paraId="190C5E93" w14:textId="77777777">
        <w:trPr>
          <w:trHeight w:val="397"/>
          <w:jc w:val="center"/>
        </w:trPr>
        <w:tc>
          <w:tcPr>
            <w:tcW w:w="1615" w:type="dxa"/>
            <w:vMerge/>
            <w:vAlign w:val="center"/>
          </w:tcPr>
          <w:p w14:paraId="47540B2C" w14:textId="77777777" w:rsidR="00620622" w:rsidRDefault="00620622">
            <w:pPr>
              <w:snapToGrid w:val="0"/>
              <w:jc w:val="center"/>
              <w:rPr>
                <w:rFonts w:ascii="仿宋" w:eastAsia="仿宋" w:hAnsi="仿宋" w:hint="eastAsia"/>
                <w:b/>
                <w:bCs/>
              </w:rPr>
            </w:pPr>
          </w:p>
        </w:tc>
        <w:tc>
          <w:tcPr>
            <w:tcW w:w="7849" w:type="dxa"/>
            <w:vAlign w:val="center"/>
          </w:tcPr>
          <w:p w14:paraId="7E3D8460" w14:textId="77777777" w:rsidR="00620622" w:rsidRDefault="00620622">
            <w:pPr>
              <w:pStyle w:val="a4"/>
              <w:spacing w:line="240" w:lineRule="auto"/>
              <w:ind w:firstLineChars="0" w:firstLine="0"/>
              <w:jc w:val="left"/>
              <w:rPr>
                <w:rFonts w:ascii="宋体"/>
                <w:color w:val="000000"/>
                <w:sz w:val="21"/>
                <w:szCs w:val="21"/>
              </w:rPr>
            </w:pPr>
          </w:p>
        </w:tc>
      </w:tr>
      <w:tr w:rsidR="00620622" w14:paraId="65044D28" w14:textId="77777777">
        <w:trPr>
          <w:trHeight w:val="397"/>
          <w:jc w:val="center"/>
        </w:trPr>
        <w:tc>
          <w:tcPr>
            <w:tcW w:w="1615" w:type="dxa"/>
            <w:vMerge/>
            <w:vAlign w:val="center"/>
          </w:tcPr>
          <w:p w14:paraId="0A94DF15" w14:textId="77777777" w:rsidR="00620622" w:rsidRDefault="00620622">
            <w:pPr>
              <w:snapToGrid w:val="0"/>
              <w:jc w:val="center"/>
              <w:rPr>
                <w:rFonts w:ascii="仿宋" w:eastAsia="仿宋" w:hAnsi="仿宋" w:hint="eastAsia"/>
                <w:b/>
                <w:bCs/>
              </w:rPr>
            </w:pPr>
          </w:p>
        </w:tc>
        <w:tc>
          <w:tcPr>
            <w:tcW w:w="7849" w:type="dxa"/>
            <w:vAlign w:val="center"/>
          </w:tcPr>
          <w:p w14:paraId="0C3EEC84" w14:textId="77777777" w:rsidR="00620622" w:rsidRDefault="00620622">
            <w:pPr>
              <w:pStyle w:val="a4"/>
              <w:spacing w:line="240" w:lineRule="auto"/>
              <w:ind w:firstLineChars="0" w:firstLine="0"/>
              <w:jc w:val="left"/>
              <w:rPr>
                <w:rFonts w:ascii="宋体"/>
                <w:color w:val="000000"/>
                <w:sz w:val="21"/>
                <w:szCs w:val="21"/>
              </w:rPr>
            </w:pPr>
          </w:p>
        </w:tc>
      </w:tr>
    </w:tbl>
    <w:p w14:paraId="7110E320" w14:textId="77777777" w:rsidR="00620622" w:rsidRDefault="00620622">
      <w:pPr>
        <w:widowControl/>
        <w:jc w:val="left"/>
        <w:rPr>
          <w:rFonts w:ascii="仿宋" w:eastAsia="仿宋" w:hAnsi="仿宋" w:cs="Times New Roman" w:hint="eastAsia"/>
          <w:sz w:val="32"/>
          <w:szCs w:val="32"/>
        </w:rPr>
      </w:pPr>
    </w:p>
    <w:sectPr w:rsidR="00620622">
      <w:footerReference w:type="default" r:id="rId7"/>
      <w:pgSz w:w="11906" w:h="16838"/>
      <w:pgMar w:top="1985" w:right="1134" w:bottom="1440" w:left="1701" w:header="851" w:footer="992" w:gutter="0"/>
      <w:pgNumType w:fmt="numberInDash"/>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DF6F3" w14:textId="77777777" w:rsidR="003923A4" w:rsidRDefault="003923A4">
      <w:r>
        <w:separator/>
      </w:r>
    </w:p>
  </w:endnote>
  <w:endnote w:type="continuationSeparator" w:id="0">
    <w:p w14:paraId="176869AF" w14:textId="77777777" w:rsidR="003923A4" w:rsidRDefault="00392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83ED" w14:textId="77777777" w:rsidR="00620622" w:rsidRDefault="00000000">
    <w:pPr>
      <w:pStyle w:val="aa"/>
      <w:jc w:val="center"/>
    </w:pPr>
    <w:r>
      <w:rPr>
        <w:noProof/>
      </w:rPr>
      <mc:AlternateContent>
        <mc:Choice Requires="wps">
          <w:drawing>
            <wp:anchor distT="0" distB="0" distL="114300" distR="114300" simplePos="0" relativeHeight="251659264" behindDoc="0" locked="0" layoutInCell="1" allowOverlap="1" wp14:anchorId="1B6BDA21" wp14:editId="139BD25F">
              <wp:simplePos x="0" y="0"/>
              <wp:positionH relativeFrom="margin">
                <wp:align>outside</wp:align>
              </wp:positionH>
              <wp:positionV relativeFrom="paragraph">
                <wp:posOffset>0</wp:posOffset>
              </wp:positionV>
              <wp:extent cx="534035" cy="384175"/>
              <wp:effectExtent l="0" t="0" r="0" b="952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384175"/>
                      </a:xfrm>
                      <a:prstGeom prst="rect">
                        <a:avLst/>
                      </a:prstGeom>
                      <a:noFill/>
                      <a:ln>
                        <a:noFill/>
                      </a:ln>
                    </wps:spPr>
                    <wps:txbx>
                      <w:txbxContent>
                        <w:p w14:paraId="5BE24AB2" w14:textId="77777777" w:rsidR="00620622" w:rsidRDefault="00000000">
                          <w:pPr>
                            <w:pStyle w:val="aa"/>
                            <w:rPr>
                              <w:rStyle w:val="af0"/>
                              <w:rFonts w:ascii="宋体" w:hAnsi="宋体" w:cs="宋体" w:hint="eastAsia"/>
                              <w:sz w:val="28"/>
                              <w:szCs w:val="28"/>
                            </w:rPr>
                          </w:pPr>
                          <w:r>
                            <w:rPr>
                              <w:rFonts w:ascii="宋体" w:hAnsi="宋体" w:cs="宋体" w:hint="eastAsia"/>
                              <w:sz w:val="28"/>
                              <w:szCs w:val="28"/>
                            </w:rPr>
                            <w:fldChar w:fldCharType="begin"/>
                          </w:r>
                          <w:r>
                            <w:rPr>
                              <w:rStyle w:val="af0"/>
                              <w:rFonts w:ascii="宋体" w:hAnsi="宋体" w:cs="宋体" w:hint="eastAsia"/>
                              <w:sz w:val="28"/>
                              <w:szCs w:val="28"/>
                            </w:rPr>
                            <w:instrText xml:space="preserve">PAGE  </w:instrText>
                          </w:r>
                          <w:r>
                            <w:rPr>
                              <w:rFonts w:ascii="宋体" w:hAnsi="宋体" w:cs="宋体" w:hint="eastAsia"/>
                              <w:sz w:val="28"/>
                              <w:szCs w:val="28"/>
                            </w:rPr>
                            <w:fldChar w:fldCharType="separate"/>
                          </w:r>
                          <w:r>
                            <w:rPr>
                              <w:rStyle w:val="af0"/>
                              <w:rFonts w:ascii="宋体" w:hAnsi="宋体" w:cs="宋体"/>
                              <w:sz w:val="28"/>
                              <w:szCs w:val="28"/>
                            </w:rPr>
                            <w:t>- 1 -</w:t>
                          </w:r>
                          <w:r>
                            <w:rPr>
                              <w:rFonts w:ascii="宋体" w:hAnsi="宋体" w:cs="宋体" w:hint="eastAsia"/>
                              <w:sz w:val="28"/>
                              <w:szCs w:val="28"/>
                            </w:rPr>
                            <w:fldChar w:fldCharType="end"/>
                          </w:r>
                        </w:p>
                        <w:p w14:paraId="135873BF" w14:textId="77777777" w:rsidR="00620622" w:rsidRDefault="00620622"/>
                      </w:txbxContent>
                    </wps:txbx>
                    <wps:bodyPr rot="0" vert="horz" wrap="none" lIns="0" tIns="0" rIns="0" bIns="0" anchor="t" anchorCtr="0" upright="1">
                      <a:spAutoFit/>
                    </wps:bodyPr>
                  </wps:wsp>
                </a:graphicData>
              </a:graphic>
            </wp:anchor>
          </w:drawing>
        </mc:Choice>
        <mc:Fallback>
          <w:pict>
            <v:shapetype w14:anchorId="1B6BDA21" id="_x0000_t202" coordsize="21600,21600" o:spt="202" path="m,l,21600r21600,l21600,xe">
              <v:stroke joinstyle="miter"/>
              <v:path gradientshapeok="t" o:connecttype="rect"/>
            </v:shapetype>
            <v:shape id="文本框 2" o:spid="_x0000_s1026" type="#_x0000_t202" style="position:absolute;left:0;text-align:left;margin-left:-9.15pt;margin-top:0;width:42.05pt;height:30.2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" filled="f" stroked="f">
              <v:textbox style="mso-fit-shape-to-text:t" inset="0,0,0,0">
                <w:txbxContent>
                  <w:p w14:paraId="5BE24AB2" w14:textId="77777777" w:rsidR="00620622" w:rsidRDefault="00000000">
                    <w:pPr>
                      <w:pStyle w:val="aa"/>
                      <w:rPr>
                        <w:rStyle w:val="af0"/>
                        <w:rFonts w:ascii="宋体" w:hAnsi="宋体" w:cs="宋体" w:hint="eastAsia"/>
                        <w:sz w:val="28"/>
                        <w:szCs w:val="28"/>
                      </w:rPr>
                    </w:pPr>
                    <w:r>
                      <w:rPr>
                        <w:rFonts w:ascii="宋体" w:hAnsi="宋体" w:cs="宋体" w:hint="eastAsia"/>
                        <w:sz w:val="28"/>
                        <w:szCs w:val="28"/>
                      </w:rPr>
                      <w:fldChar w:fldCharType="begin"/>
                    </w:r>
                    <w:r>
                      <w:rPr>
                        <w:rStyle w:val="af0"/>
                        <w:rFonts w:ascii="宋体" w:hAnsi="宋体" w:cs="宋体" w:hint="eastAsia"/>
                        <w:sz w:val="28"/>
                        <w:szCs w:val="28"/>
                      </w:rPr>
                      <w:instrText xml:space="preserve">PAGE  </w:instrText>
                    </w:r>
                    <w:r>
                      <w:rPr>
                        <w:rFonts w:ascii="宋体" w:hAnsi="宋体" w:cs="宋体" w:hint="eastAsia"/>
                        <w:sz w:val="28"/>
                        <w:szCs w:val="28"/>
                      </w:rPr>
                      <w:fldChar w:fldCharType="separate"/>
                    </w:r>
                    <w:r>
                      <w:rPr>
                        <w:rStyle w:val="af0"/>
                        <w:rFonts w:ascii="宋体" w:hAnsi="宋体" w:cs="宋体"/>
                        <w:sz w:val="28"/>
                        <w:szCs w:val="28"/>
                      </w:rPr>
                      <w:t>- 1 -</w:t>
                    </w:r>
                    <w:r>
                      <w:rPr>
                        <w:rFonts w:ascii="宋体" w:hAnsi="宋体" w:cs="宋体" w:hint="eastAsia"/>
                        <w:sz w:val="28"/>
                        <w:szCs w:val="28"/>
                      </w:rPr>
                      <w:fldChar w:fldCharType="end"/>
                    </w:r>
                  </w:p>
                  <w:p w14:paraId="135873BF" w14:textId="77777777" w:rsidR="00620622" w:rsidRDefault="00620622"/>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AFA63" w14:textId="77777777" w:rsidR="003923A4" w:rsidRDefault="003923A4">
      <w:r>
        <w:separator/>
      </w:r>
    </w:p>
  </w:footnote>
  <w:footnote w:type="continuationSeparator" w:id="0">
    <w:p w14:paraId="2CD48942" w14:textId="77777777" w:rsidR="003923A4" w:rsidRDefault="003923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95A"/>
    <w:rsid w:val="00003708"/>
    <w:rsid w:val="00036537"/>
    <w:rsid w:val="00080269"/>
    <w:rsid w:val="000959FC"/>
    <w:rsid w:val="00095A71"/>
    <w:rsid w:val="000B1C55"/>
    <w:rsid w:val="000B6809"/>
    <w:rsid w:val="000C1A07"/>
    <w:rsid w:val="000C2908"/>
    <w:rsid w:val="000C2D2F"/>
    <w:rsid w:val="000D0155"/>
    <w:rsid w:val="000E5230"/>
    <w:rsid w:val="000E5B9A"/>
    <w:rsid w:val="000E640E"/>
    <w:rsid w:val="000F02CD"/>
    <w:rsid w:val="000F1EF7"/>
    <w:rsid w:val="001000CF"/>
    <w:rsid w:val="001023DA"/>
    <w:rsid w:val="0010588C"/>
    <w:rsid w:val="00105906"/>
    <w:rsid w:val="0011661A"/>
    <w:rsid w:val="00122C7E"/>
    <w:rsid w:val="0012380F"/>
    <w:rsid w:val="001240B6"/>
    <w:rsid w:val="001241D6"/>
    <w:rsid w:val="001342E5"/>
    <w:rsid w:val="00145C70"/>
    <w:rsid w:val="00155455"/>
    <w:rsid w:val="001605A3"/>
    <w:rsid w:val="001749C9"/>
    <w:rsid w:val="001A2255"/>
    <w:rsid w:val="001C4FF0"/>
    <w:rsid w:val="001E5C71"/>
    <w:rsid w:val="001F4357"/>
    <w:rsid w:val="00225FBE"/>
    <w:rsid w:val="00232232"/>
    <w:rsid w:val="00271925"/>
    <w:rsid w:val="0027498D"/>
    <w:rsid w:val="002A1895"/>
    <w:rsid w:val="002A579D"/>
    <w:rsid w:val="002A7752"/>
    <w:rsid w:val="002B55AD"/>
    <w:rsid w:val="002C7984"/>
    <w:rsid w:val="002D495A"/>
    <w:rsid w:val="002D5360"/>
    <w:rsid w:val="002D5421"/>
    <w:rsid w:val="002D7DCC"/>
    <w:rsid w:val="002E11FC"/>
    <w:rsid w:val="002F0F26"/>
    <w:rsid w:val="002F2BA0"/>
    <w:rsid w:val="002F2E35"/>
    <w:rsid w:val="002F4BBF"/>
    <w:rsid w:val="0030207A"/>
    <w:rsid w:val="00304317"/>
    <w:rsid w:val="00324B95"/>
    <w:rsid w:val="00335243"/>
    <w:rsid w:val="00335CF6"/>
    <w:rsid w:val="00341DF7"/>
    <w:rsid w:val="003543E2"/>
    <w:rsid w:val="00355235"/>
    <w:rsid w:val="003618CB"/>
    <w:rsid w:val="00363B58"/>
    <w:rsid w:val="00363E73"/>
    <w:rsid w:val="003650B7"/>
    <w:rsid w:val="003923A4"/>
    <w:rsid w:val="003A7B7F"/>
    <w:rsid w:val="003B1236"/>
    <w:rsid w:val="003C2D63"/>
    <w:rsid w:val="003D2823"/>
    <w:rsid w:val="003E40B3"/>
    <w:rsid w:val="0040006E"/>
    <w:rsid w:val="00405E74"/>
    <w:rsid w:val="0041300E"/>
    <w:rsid w:val="00421760"/>
    <w:rsid w:val="00424599"/>
    <w:rsid w:val="00424827"/>
    <w:rsid w:val="00430699"/>
    <w:rsid w:val="00431E48"/>
    <w:rsid w:val="00433CBE"/>
    <w:rsid w:val="00433E57"/>
    <w:rsid w:val="0044494F"/>
    <w:rsid w:val="00460169"/>
    <w:rsid w:val="00463562"/>
    <w:rsid w:val="00482F98"/>
    <w:rsid w:val="00496B4B"/>
    <w:rsid w:val="004A648A"/>
    <w:rsid w:val="004C3720"/>
    <w:rsid w:val="004E7888"/>
    <w:rsid w:val="004F4CBD"/>
    <w:rsid w:val="005039CE"/>
    <w:rsid w:val="00511A13"/>
    <w:rsid w:val="00553AB5"/>
    <w:rsid w:val="00587609"/>
    <w:rsid w:val="0059566B"/>
    <w:rsid w:val="005D431C"/>
    <w:rsid w:val="005E415D"/>
    <w:rsid w:val="005F682D"/>
    <w:rsid w:val="00615181"/>
    <w:rsid w:val="00620622"/>
    <w:rsid w:val="00625584"/>
    <w:rsid w:val="006300A7"/>
    <w:rsid w:val="00632731"/>
    <w:rsid w:val="00644642"/>
    <w:rsid w:val="00655D5D"/>
    <w:rsid w:val="00664CFA"/>
    <w:rsid w:val="0066720B"/>
    <w:rsid w:val="0067381B"/>
    <w:rsid w:val="00681E39"/>
    <w:rsid w:val="006A0A3B"/>
    <w:rsid w:val="006B2D1F"/>
    <w:rsid w:val="006B534C"/>
    <w:rsid w:val="006B768A"/>
    <w:rsid w:val="006C6A20"/>
    <w:rsid w:val="006E424B"/>
    <w:rsid w:val="006E58F1"/>
    <w:rsid w:val="007006CB"/>
    <w:rsid w:val="0070314F"/>
    <w:rsid w:val="0070359F"/>
    <w:rsid w:val="00737507"/>
    <w:rsid w:val="007440BD"/>
    <w:rsid w:val="00745B07"/>
    <w:rsid w:val="00750A5F"/>
    <w:rsid w:val="00753FAB"/>
    <w:rsid w:val="00760129"/>
    <w:rsid w:val="00764E0E"/>
    <w:rsid w:val="00771B00"/>
    <w:rsid w:val="007A3F49"/>
    <w:rsid w:val="007B6BE4"/>
    <w:rsid w:val="007C3F02"/>
    <w:rsid w:val="00833442"/>
    <w:rsid w:val="00853619"/>
    <w:rsid w:val="00855137"/>
    <w:rsid w:val="00862230"/>
    <w:rsid w:val="00867DDF"/>
    <w:rsid w:val="008C4D62"/>
    <w:rsid w:val="008E103B"/>
    <w:rsid w:val="008E2821"/>
    <w:rsid w:val="008E51C8"/>
    <w:rsid w:val="008E5FBB"/>
    <w:rsid w:val="008E62F7"/>
    <w:rsid w:val="009008EC"/>
    <w:rsid w:val="0090784A"/>
    <w:rsid w:val="00917134"/>
    <w:rsid w:val="009244BA"/>
    <w:rsid w:val="00971049"/>
    <w:rsid w:val="00995693"/>
    <w:rsid w:val="009A152B"/>
    <w:rsid w:val="009A5C88"/>
    <w:rsid w:val="009A7D7D"/>
    <w:rsid w:val="009D17A3"/>
    <w:rsid w:val="009D2684"/>
    <w:rsid w:val="009D3C81"/>
    <w:rsid w:val="009E51B4"/>
    <w:rsid w:val="00A02EA1"/>
    <w:rsid w:val="00A03867"/>
    <w:rsid w:val="00A1386F"/>
    <w:rsid w:val="00A252D5"/>
    <w:rsid w:val="00A274C7"/>
    <w:rsid w:val="00A33ECC"/>
    <w:rsid w:val="00A57C25"/>
    <w:rsid w:val="00A633AF"/>
    <w:rsid w:val="00A65E1C"/>
    <w:rsid w:val="00A678D4"/>
    <w:rsid w:val="00A67E32"/>
    <w:rsid w:val="00A97562"/>
    <w:rsid w:val="00AC170F"/>
    <w:rsid w:val="00AD2762"/>
    <w:rsid w:val="00B0275B"/>
    <w:rsid w:val="00B14202"/>
    <w:rsid w:val="00B240A2"/>
    <w:rsid w:val="00B272A4"/>
    <w:rsid w:val="00B42C5A"/>
    <w:rsid w:val="00B51B49"/>
    <w:rsid w:val="00B552F0"/>
    <w:rsid w:val="00B635BB"/>
    <w:rsid w:val="00B74063"/>
    <w:rsid w:val="00BB0B3C"/>
    <w:rsid w:val="00BD6633"/>
    <w:rsid w:val="00BE1749"/>
    <w:rsid w:val="00C01722"/>
    <w:rsid w:val="00C1503B"/>
    <w:rsid w:val="00C20356"/>
    <w:rsid w:val="00C257C6"/>
    <w:rsid w:val="00C32665"/>
    <w:rsid w:val="00C44DFC"/>
    <w:rsid w:val="00C53039"/>
    <w:rsid w:val="00C55FF8"/>
    <w:rsid w:val="00C57970"/>
    <w:rsid w:val="00C73ADE"/>
    <w:rsid w:val="00C75EAA"/>
    <w:rsid w:val="00C820B6"/>
    <w:rsid w:val="00C843BC"/>
    <w:rsid w:val="00CB39F1"/>
    <w:rsid w:val="00CB5904"/>
    <w:rsid w:val="00CC7207"/>
    <w:rsid w:val="00CD164C"/>
    <w:rsid w:val="00CD72C8"/>
    <w:rsid w:val="00CE1A19"/>
    <w:rsid w:val="00CE2CC4"/>
    <w:rsid w:val="00CF4C59"/>
    <w:rsid w:val="00CF5837"/>
    <w:rsid w:val="00CF7CE1"/>
    <w:rsid w:val="00D26ED4"/>
    <w:rsid w:val="00D355DD"/>
    <w:rsid w:val="00D45130"/>
    <w:rsid w:val="00D62384"/>
    <w:rsid w:val="00D751DA"/>
    <w:rsid w:val="00D87781"/>
    <w:rsid w:val="00DD3ED9"/>
    <w:rsid w:val="00DD6041"/>
    <w:rsid w:val="00DE359E"/>
    <w:rsid w:val="00DF639F"/>
    <w:rsid w:val="00E05A72"/>
    <w:rsid w:val="00E14A76"/>
    <w:rsid w:val="00E30997"/>
    <w:rsid w:val="00E31DE2"/>
    <w:rsid w:val="00E32327"/>
    <w:rsid w:val="00E4298F"/>
    <w:rsid w:val="00E53BB5"/>
    <w:rsid w:val="00E67C35"/>
    <w:rsid w:val="00E720A6"/>
    <w:rsid w:val="00E872E7"/>
    <w:rsid w:val="00ED1267"/>
    <w:rsid w:val="00EE0600"/>
    <w:rsid w:val="00EF6A6C"/>
    <w:rsid w:val="00F16DE8"/>
    <w:rsid w:val="00F22718"/>
    <w:rsid w:val="00F25AED"/>
    <w:rsid w:val="00F3258A"/>
    <w:rsid w:val="00F356EB"/>
    <w:rsid w:val="00F37536"/>
    <w:rsid w:val="00F412D0"/>
    <w:rsid w:val="00F44EAC"/>
    <w:rsid w:val="00F476D9"/>
    <w:rsid w:val="00F61182"/>
    <w:rsid w:val="00F62A16"/>
    <w:rsid w:val="00F95726"/>
    <w:rsid w:val="00F95AF7"/>
    <w:rsid w:val="00FB5165"/>
    <w:rsid w:val="00FE2312"/>
    <w:rsid w:val="00FF373A"/>
    <w:rsid w:val="2197632B"/>
    <w:rsid w:val="5C647122"/>
    <w:rsid w:val="648750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BB85D"/>
  <w15:docId w15:val="{1A92CCD0-6EA8-4D28-B4C7-6EA609C57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jc w:val="center"/>
      <w:outlineLvl w:val="0"/>
    </w:pPr>
    <w:rPr>
      <w:rFonts w:ascii="仿宋_GB2312" w:eastAsia="仿宋_GB2312" w:hAnsi="Times New Roman" w:cs="Times New Roman"/>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11"/>
    <w:uiPriority w:val="99"/>
    <w:unhideWhenUsed/>
    <w:qFormat/>
    <w:pPr>
      <w:jc w:val="left"/>
    </w:pPr>
  </w:style>
  <w:style w:type="paragraph" w:styleId="a4">
    <w:name w:val="Plain Text"/>
    <w:basedOn w:val="a"/>
    <w:link w:val="a5"/>
    <w:qFormat/>
    <w:pPr>
      <w:spacing w:line="360" w:lineRule="auto"/>
      <w:ind w:firstLineChars="200" w:firstLine="480"/>
    </w:pPr>
    <w:rPr>
      <w:rFonts w:ascii="仿宋_GB2312" w:eastAsia="宋体" w:hAnsi="Times New Roman" w:cs="Times New Roman"/>
      <w:sz w:val="24"/>
      <w:szCs w:val="24"/>
    </w:rPr>
  </w:style>
  <w:style w:type="paragraph" w:styleId="a6">
    <w:name w:val="Date"/>
    <w:basedOn w:val="a"/>
    <w:next w:val="a"/>
    <w:link w:val="a7"/>
    <w:uiPriority w:val="99"/>
    <w:semiHidden/>
    <w:unhideWhenUsed/>
    <w:qFormat/>
    <w:pPr>
      <w:ind w:leftChars="2500" w:left="100"/>
    </w:pPr>
  </w:style>
  <w:style w:type="paragraph" w:styleId="a8">
    <w:name w:val="Balloon Text"/>
    <w:basedOn w:val="a"/>
    <w:link w:val="a9"/>
    <w:uiPriority w:val="99"/>
    <w:unhideWhenUsed/>
    <w:qFormat/>
    <w:rPr>
      <w:sz w:val="18"/>
      <w:szCs w:val="18"/>
    </w:rPr>
  </w:style>
  <w:style w:type="paragraph" w:styleId="aa">
    <w:name w:val="footer"/>
    <w:basedOn w:val="a"/>
    <w:link w:val="12"/>
    <w:uiPriority w:val="99"/>
    <w:unhideWhenUsed/>
    <w:qFormat/>
    <w:pPr>
      <w:tabs>
        <w:tab w:val="center" w:pos="4153"/>
        <w:tab w:val="right" w:pos="8306"/>
      </w:tabs>
      <w:snapToGrid w:val="0"/>
      <w:jc w:val="left"/>
    </w:pPr>
    <w:rPr>
      <w:sz w:val="18"/>
      <w:szCs w:val="18"/>
    </w:rPr>
  </w:style>
  <w:style w:type="paragraph" w:styleId="ab">
    <w:name w:val="header"/>
    <w:basedOn w:val="a"/>
    <w:link w:val="13"/>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d">
    <w:name w:val="annotation subject"/>
    <w:basedOn w:val="a3"/>
    <w:next w:val="a3"/>
    <w:link w:val="ae"/>
    <w:uiPriority w:val="99"/>
    <w:unhideWhenUsed/>
    <w:qFormat/>
    <w:rPr>
      <w:b/>
      <w:bCs/>
      <w:szCs w:val="24"/>
    </w:rPr>
  </w:style>
  <w:style w:type="table" w:styleId="af">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qFormat/>
  </w:style>
  <w:style w:type="character" w:styleId="af1">
    <w:name w:val="Hyperlink"/>
    <w:basedOn w:val="a0"/>
    <w:uiPriority w:val="99"/>
    <w:unhideWhenUsed/>
    <w:qFormat/>
    <w:rPr>
      <w:color w:val="0000FF" w:themeColor="hyperlink"/>
      <w:u w:val="single"/>
    </w:rPr>
  </w:style>
  <w:style w:type="character" w:styleId="af2">
    <w:name w:val="annotation reference"/>
    <w:uiPriority w:val="99"/>
    <w:unhideWhenUsed/>
    <w:qFormat/>
    <w:rPr>
      <w:sz w:val="21"/>
      <w:szCs w:val="21"/>
    </w:rPr>
  </w:style>
  <w:style w:type="character" w:customStyle="1" w:styleId="13">
    <w:name w:val="页眉 字符1"/>
    <w:basedOn w:val="a0"/>
    <w:link w:val="ab"/>
    <w:uiPriority w:val="99"/>
    <w:qFormat/>
    <w:rPr>
      <w:sz w:val="18"/>
      <w:szCs w:val="18"/>
    </w:rPr>
  </w:style>
  <w:style w:type="character" w:customStyle="1" w:styleId="12">
    <w:name w:val="页脚 字符1"/>
    <w:basedOn w:val="a0"/>
    <w:link w:val="aa"/>
    <w:uiPriority w:val="99"/>
    <w:qFormat/>
    <w:rPr>
      <w:sz w:val="18"/>
      <w:szCs w:val="18"/>
    </w:rPr>
  </w:style>
  <w:style w:type="character" w:customStyle="1" w:styleId="a7">
    <w:name w:val="日期 字符"/>
    <w:basedOn w:val="a0"/>
    <w:link w:val="a6"/>
    <w:qFormat/>
  </w:style>
  <w:style w:type="character" w:customStyle="1" w:styleId="1Char">
    <w:name w:val="标题 1 Char"/>
    <w:basedOn w:val="a0"/>
    <w:uiPriority w:val="9"/>
    <w:qFormat/>
    <w:rPr>
      <w:b/>
      <w:bCs/>
      <w:kern w:val="44"/>
      <w:sz w:val="44"/>
      <w:szCs w:val="44"/>
    </w:rPr>
  </w:style>
  <w:style w:type="character" w:customStyle="1" w:styleId="ae">
    <w:name w:val="批注主题 字符"/>
    <w:link w:val="ad"/>
    <w:uiPriority w:val="99"/>
    <w:qFormat/>
    <w:rPr>
      <w:b/>
      <w:bCs/>
      <w:szCs w:val="24"/>
    </w:rPr>
  </w:style>
  <w:style w:type="character" w:customStyle="1" w:styleId="af3">
    <w:name w:val="页眉 字符"/>
    <w:qFormat/>
    <w:rPr>
      <w:sz w:val="18"/>
      <w:szCs w:val="18"/>
    </w:rPr>
  </w:style>
  <w:style w:type="character" w:customStyle="1" w:styleId="af4">
    <w:name w:val="页脚 字符"/>
    <w:uiPriority w:val="99"/>
    <w:qFormat/>
    <w:rPr>
      <w:sz w:val="18"/>
      <w:szCs w:val="18"/>
    </w:rPr>
  </w:style>
  <w:style w:type="character" w:customStyle="1" w:styleId="10">
    <w:name w:val="标题 1 字符"/>
    <w:link w:val="1"/>
    <w:qFormat/>
    <w:rPr>
      <w:rFonts w:ascii="仿宋_GB2312" w:eastAsia="仿宋_GB2312" w:hAnsi="Times New Roman" w:cs="Times New Roman"/>
      <w:kern w:val="0"/>
      <w:sz w:val="28"/>
      <w:szCs w:val="20"/>
    </w:rPr>
  </w:style>
  <w:style w:type="character" w:customStyle="1" w:styleId="a9">
    <w:name w:val="批注框文本 字符"/>
    <w:link w:val="a8"/>
    <w:uiPriority w:val="99"/>
    <w:qFormat/>
    <w:rPr>
      <w:sz w:val="18"/>
      <w:szCs w:val="18"/>
    </w:rPr>
  </w:style>
  <w:style w:type="character" w:customStyle="1" w:styleId="af5">
    <w:name w:val="批注文字 字符"/>
    <w:uiPriority w:val="99"/>
    <w:semiHidden/>
    <w:qFormat/>
    <w:rPr>
      <w:kern w:val="2"/>
      <w:sz w:val="21"/>
      <w:szCs w:val="24"/>
    </w:rPr>
  </w:style>
  <w:style w:type="character" w:customStyle="1" w:styleId="font11">
    <w:name w:val="font11"/>
    <w:qFormat/>
    <w:rPr>
      <w:rFonts w:ascii="宋体" w:eastAsia="宋体" w:hAnsi="宋体" w:cs="宋体" w:hint="eastAsia"/>
      <w:b/>
      <w:color w:val="000000"/>
      <w:sz w:val="32"/>
      <w:szCs w:val="32"/>
      <w:u w:val="none"/>
    </w:rPr>
  </w:style>
  <w:style w:type="character" w:customStyle="1" w:styleId="11">
    <w:name w:val="批注文字 字符1"/>
    <w:basedOn w:val="a0"/>
    <w:link w:val="a3"/>
    <w:uiPriority w:val="99"/>
    <w:semiHidden/>
    <w:qFormat/>
  </w:style>
  <w:style w:type="character" w:customStyle="1" w:styleId="Char">
    <w:name w:val="批注主题 Char"/>
    <w:basedOn w:val="11"/>
    <w:uiPriority w:val="99"/>
    <w:semiHidden/>
    <w:qFormat/>
    <w:rPr>
      <w:b/>
      <w:bCs/>
    </w:rPr>
  </w:style>
  <w:style w:type="character" w:customStyle="1" w:styleId="Char0">
    <w:name w:val="批注框文本 Char"/>
    <w:basedOn w:val="a0"/>
    <w:uiPriority w:val="99"/>
    <w:semiHidden/>
    <w:qFormat/>
    <w:rPr>
      <w:sz w:val="18"/>
      <w:szCs w:val="18"/>
    </w:rPr>
  </w:style>
  <w:style w:type="paragraph" w:customStyle="1" w:styleId="14">
    <w:name w:val="日期1"/>
    <w:basedOn w:val="a"/>
    <w:next w:val="a"/>
    <w:qFormat/>
    <w:pPr>
      <w:ind w:leftChars="2500" w:left="100"/>
    </w:pPr>
    <w:rPr>
      <w:rFonts w:ascii="Times New Roman" w:eastAsia="宋体" w:hAnsi="Times New Roman" w:cs="Times New Roman"/>
      <w:szCs w:val="24"/>
    </w:rPr>
  </w:style>
  <w:style w:type="character" w:customStyle="1" w:styleId="a5">
    <w:name w:val="纯文本 字符"/>
    <w:basedOn w:val="a0"/>
    <w:link w:val="a4"/>
    <w:qFormat/>
    <w:rPr>
      <w:rFonts w:ascii="仿宋_GB2312" w:eastAsia="宋体" w:hAnsi="Times New Roman" w:cs="Times New Roman"/>
      <w:sz w:val="24"/>
      <w:szCs w:val="24"/>
    </w:rPr>
  </w:style>
  <w:style w:type="paragraph" w:customStyle="1" w:styleId="Char1">
    <w:name w:val="Char"/>
    <w:basedOn w:val="a"/>
    <w:qFormat/>
    <w:pPr>
      <w:tabs>
        <w:tab w:val="left" w:pos="425"/>
      </w:tabs>
      <w:ind w:left="425" w:hanging="425"/>
    </w:pPr>
    <w:rPr>
      <w:rFonts w:ascii="Times New Roman" w:eastAsia="宋体" w:hAnsi="Times New Roman" w:cs="Times New Roman"/>
      <w:szCs w:val="24"/>
    </w:rPr>
  </w:style>
  <w:style w:type="paragraph" w:customStyle="1" w:styleId="15">
    <w:name w:val="列出段落1"/>
    <w:basedOn w:val="a"/>
    <w:qFormat/>
    <w:pPr>
      <w:ind w:firstLineChars="200" w:firstLine="420"/>
    </w:pPr>
    <w:rPr>
      <w:rFonts w:ascii="Calibri" w:eastAsia="宋体" w:hAnsi="Calibri" w:cs="Times New Roman"/>
    </w:rPr>
  </w:style>
  <w:style w:type="paragraph" w:styleId="af6">
    <w:name w:val="List Paragraph"/>
    <w:basedOn w:val="a"/>
    <w:uiPriority w:val="34"/>
    <w:qFormat/>
    <w:pPr>
      <w:ind w:firstLineChars="200" w:firstLine="420"/>
    </w:pPr>
  </w:style>
  <w:style w:type="paragraph" w:customStyle="1" w:styleId="olistparagraph">
    <w:name w:val="olistparagraph"/>
    <w:basedOn w:val="a"/>
    <w:qFormat/>
    <w:pPr>
      <w:spacing w:before="100" w:beforeAutospacing="1" w:after="100" w:afterAutospacing="1"/>
      <w:jc w:val="left"/>
    </w:pPr>
    <w:rPr>
      <w:rFonts w:ascii="Calibri" w:eastAsia="宋体" w:hAnsi="Calibri" w:cs="Times New Roman"/>
      <w:kern w:val="0"/>
      <w:sz w:val="24"/>
      <w:szCs w:val="24"/>
    </w:rPr>
  </w:style>
  <w:style w:type="paragraph" w:customStyle="1" w:styleId="onormal">
    <w:name w:val="onormal"/>
    <w:basedOn w:val="a"/>
    <w:qFormat/>
    <w:pPr>
      <w:spacing w:before="100" w:beforeAutospacing="1" w:after="100" w:afterAutospacing="1"/>
      <w:jc w:val="left"/>
    </w:pPr>
    <w:rPr>
      <w:rFonts w:ascii="Calibri" w:eastAsia="宋体" w:hAnsi="Calibri" w:cs="Times New Roman"/>
      <w:kern w:val="0"/>
      <w:sz w:val="24"/>
      <w:szCs w:val="24"/>
    </w:rPr>
  </w:style>
  <w:style w:type="character" w:customStyle="1" w:styleId="Char10">
    <w:name w:val="纯文本 Char1"/>
    <w:qFormat/>
    <w:locked/>
    <w:rPr>
      <w:rFonts w:ascii="仿宋_GB2312" w:eastAsia="仿宋_GB2312" w:hAnsi="Calibri" w:hint="eastAsia"/>
      <w:kern w:val="2"/>
      <w:sz w:val="24"/>
      <w:szCs w:val="24"/>
    </w:rPr>
  </w:style>
  <w:style w:type="paragraph" w:customStyle="1" w:styleId="sonormal">
    <w:name w:val="sonormal"/>
    <w:basedOn w:val="a"/>
    <w:qFormat/>
    <w:pPr>
      <w:spacing w:before="100" w:beforeAutospacing="1" w:after="100" w:afterAutospacing="1"/>
      <w:jc w:val="left"/>
    </w:pPr>
    <w:rPr>
      <w:rFonts w:ascii="Calibri" w:eastAsia="宋体" w:hAnsi="Calibri"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28376">
      <w:bodyDiv w:val="1"/>
      <w:marLeft w:val="0"/>
      <w:marRight w:val="0"/>
      <w:marTop w:val="0"/>
      <w:marBottom w:val="0"/>
      <w:divBdr>
        <w:top w:val="none" w:sz="0" w:space="0" w:color="auto"/>
        <w:left w:val="none" w:sz="0" w:space="0" w:color="auto"/>
        <w:bottom w:val="none" w:sz="0" w:space="0" w:color="auto"/>
        <w:right w:val="none" w:sz="0" w:space="0" w:color="auto"/>
      </w:divBdr>
    </w:div>
    <w:div w:id="943270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218</Words>
  <Characters>1245</Characters>
  <Application>Microsoft Office Word</Application>
  <DocSecurity>0</DocSecurity>
  <Lines>10</Lines>
  <Paragraphs>2</Paragraphs>
  <ScaleCrop>false</ScaleCrop>
  <Company>hps</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宋莎莎</dc:creator>
  <cp:lastModifiedBy>苏芳</cp:lastModifiedBy>
  <cp:revision>28</cp:revision>
  <cp:lastPrinted>2023-02-16T02:21:00Z</cp:lastPrinted>
  <dcterms:created xsi:type="dcterms:W3CDTF">2024-05-21T06:29:00Z</dcterms:created>
  <dcterms:modified xsi:type="dcterms:W3CDTF">2026-09-13T00:07:00Z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eyJoZGlkIjoiMzU0ZGY0ZGI0NTQ4YjM0NTVlYTYyZDhiNzcyMTZlYmYiLCJ1c2VySWQiOiIyNDI2MzUwOTgifQ==</vt:lpwstr>
  </property>
  <property fmtid="{D5CDD505-2E9C-101B-9397-08002B2CF9AE}" pid="3" name="KSOProductBuildVer">
    <vt:lpwstr>2052-12.1.0.28505</vt:lpwstr>
  </property>
  <property fmtid="{D5CDD505-2E9C-101B-9397-08002B2CF9AE}" pid="4" name="ICV">
    <vt:lpwstr>573FAA350DFA4916A3B80F12BF8704CE_12</vt:lpwstr>
  </property>
</Properties>
</file>