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161" w:rsidRDefault="002D24F6">
      <w:pPr>
        <w:pStyle w:val="1"/>
        <w:rPr>
          <w:rFonts w:ascii="宋体" w:eastAsia="宋体" w:hAnsi="宋体" w:cs="宋体"/>
          <w:b/>
          <w:bCs/>
          <w:sz w:val="36"/>
          <w:szCs w:val="36"/>
        </w:rPr>
      </w:pPr>
      <w:r>
        <w:rPr>
          <w:rFonts w:ascii="Times New Roman" w:eastAsia="宋体" w:hint="eastAsia"/>
          <w:b/>
          <w:bCs/>
          <w:sz w:val="36"/>
          <w:szCs w:val="36"/>
        </w:rPr>
        <w:t>202</w:t>
      </w:r>
      <w:r>
        <w:rPr>
          <w:rFonts w:ascii="Times New Roman" w:eastAsia="宋体" w:hint="eastAsia"/>
          <w:b/>
          <w:bCs/>
          <w:sz w:val="36"/>
          <w:szCs w:val="36"/>
        </w:rPr>
        <w:t>6</w:t>
      </w:r>
      <w:r>
        <w:rPr>
          <w:rFonts w:ascii="Times New Roman" w:eastAsia="宋体" w:hint="eastAsia"/>
          <w:b/>
          <w:bCs/>
          <w:sz w:val="36"/>
          <w:szCs w:val="36"/>
        </w:rPr>
        <w:t>年自然资源科学技术奖</w:t>
      </w:r>
      <w:r>
        <w:rPr>
          <w:rFonts w:ascii="宋体" w:eastAsia="宋体" w:hAnsi="宋体" w:cs="宋体" w:hint="eastAsia"/>
          <w:b/>
          <w:bCs/>
          <w:sz w:val="36"/>
          <w:szCs w:val="36"/>
        </w:rPr>
        <w:t>公示表</w:t>
      </w:r>
    </w:p>
    <w:p w:rsidR="00985161" w:rsidRDefault="00985161"/>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5"/>
        <w:gridCol w:w="7849"/>
      </w:tblGrid>
      <w:tr w:rsidR="00985161">
        <w:trPr>
          <w:trHeight w:val="553"/>
          <w:jc w:val="center"/>
        </w:trPr>
        <w:tc>
          <w:tcPr>
            <w:tcW w:w="1615" w:type="dxa"/>
            <w:vAlign w:val="center"/>
          </w:tcPr>
          <w:p w:rsidR="00985161" w:rsidRDefault="002D24F6">
            <w:pPr>
              <w:adjustRightInd w:val="0"/>
              <w:snapToGrid w:val="0"/>
              <w:jc w:val="center"/>
              <w:rPr>
                <w:rFonts w:ascii="仿宋" w:eastAsia="仿宋" w:hAnsi="仿宋"/>
                <w:b/>
                <w:bCs/>
              </w:rPr>
            </w:pPr>
            <w:r>
              <w:rPr>
                <w:rFonts w:ascii="仿宋" w:eastAsia="仿宋" w:hAnsi="仿宋" w:hint="eastAsia"/>
                <w:b/>
                <w:bCs/>
              </w:rPr>
              <w:t>项目名称</w:t>
            </w:r>
          </w:p>
        </w:tc>
        <w:tc>
          <w:tcPr>
            <w:tcW w:w="7849" w:type="dxa"/>
            <w:vAlign w:val="bottom"/>
          </w:tcPr>
          <w:p w:rsidR="00985161" w:rsidRPr="002D0504" w:rsidRDefault="002D0504">
            <w:pPr>
              <w:spacing w:line="360" w:lineRule="auto"/>
              <w:jc w:val="center"/>
              <w:rPr>
                <w:rFonts w:ascii="仿宋" w:eastAsia="仿宋" w:hAnsi="仿宋"/>
                <w:bCs/>
              </w:rPr>
            </w:pPr>
            <w:r w:rsidRPr="002D0504">
              <w:rPr>
                <w:rFonts w:ascii="仿宋" w:eastAsia="仿宋" w:hAnsi="仿宋" w:hint="eastAsia"/>
                <w:bCs/>
              </w:rPr>
              <w:t>海岸带重金属污染沉积物原位修复及异位处置技术与示范</w:t>
            </w:r>
          </w:p>
        </w:tc>
      </w:tr>
      <w:tr w:rsidR="00985161" w:rsidTr="00CA7DB3">
        <w:trPr>
          <w:trHeight w:val="547"/>
          <w:jc w:val="center"/>
        </w:trPr>
        <w:tc>
          <w:tcPr>
            <w:tcW w:w="1615" w:type="dxa"/>
            <w:vAlign w:val="center"/>
          </w:tcPr>
          <w:p w:rsidR="00985161" w:rsidRDefault="002D24F6">
            <w:pPr>
              <w:adjustRightInd w:val="0"/>
              <w:snapToGrid w:val="0"/>
              <w:jc w:val="center"/>
              <w:rPr>
                <w:rFonts w:ascii="仿宋" w:eastAsia="仿宋" w:hAnsi="仿宋"/>
                <w:b/>
                <w:bCs/>
              </w:rPr>
            </w:pPr>
            <w:r>
              <w:rPr>
                <w:rFonts w:ascii="仿宋" w:eastAsia="仿宋" w:hAnsi="仿宋" w:hint="eastAsia"/>
                <w:b/>
                <w:bCs/>
              </w:rPr>
              <w:t>申报奖项</w:t>
            </w:r>
          </w:p>
        </w:tc>
        <w:tc>
          <w:tcPr>
            <w:tcW w:w="7849" w:type="dxa"/>
            <w:vAlign w:val="center"/>
          </w:tcPr>
          <w:p w:rsidR="00985161" w:rsidRPr="002D0504" w:rsidRDefault="002D0504">
            <w:pPr>
              <w:spacing w:line="240" w:lineRule="exact"/>
              <w:ind w:right="-20" w:firstLineChars="200" w:firstLine="420"/>
              <w:jc w:val="center"/>
              <w:rPr>
                <w:rFonts w:ascii="仿宋" w:eastAsia="仿宋" w:hAnsi="仿宋"/>
                <w:bCs/>
              </w:rPr>
            </w:pPr>
            <w:r w:rsidRPr="002D0504">
              <w:rPr>
                <w:rFonts w:ascii="仿宋" w:eastAsia="仿宋" w:hAnsi="仿宋"/>
                <w:bCs/>
              </w:rPr>
              <w:t>科技进步奖</w:t>
            </w:r>
          </w:p>
        </w:tc>
      </w:tr>
      <w:tr w:rsidR="00985161" w:rsidTr="00CA7DB3">
        <w:trPr>
          <w:trHeight w:val="554"/>
          <w:jc w:val="center"/>
        </w:trPr>
        <w:tc>
          <w:tcPr>
            <w:tcW w:w="1615" w:type="dxa"/>
            <w:vAlign w:val="center"/>
          </w:tcPr>
          <w:p w:rsidR="00985161" w:rsidRDefault="002D24F6">
            <w:pPr>
              <w:snapToGrid w:val="0"/>
              <w:jc w:val="center"/>
              <w:rPr>
                <w:rFonts w:ascii="仿宋" w:eastAsia="仿宋" w:hAnsi="仿宋"/>
              </w:rPr>
            </w:pPr>
            <w:r>
              <w:rPr>
                <w:rFonts w:ascii="仿宋" w:eastAsia="仿宋" w:hAnsi="仿宋" w:hint="eastAsia"/>
                <w:b/>
                <w:bCs/>
              </w:rPr>
              <w:t>主要完成单位</w:t>
            </w:r>
          </w:p>
        </w:tc>
        <w:tc>
          <w:tcPr>
            <w:tcW w:w="7849" w:type="dxa"/>
            <w:vAlign w:val="center"/>
          </w:tcPr>
          <w:p w:rsidR="00985161" w:rsidRPr="002D0504" w:rsidRDefault="002D0504">
            <w:pPr>
              <w:snapToGrid w:val="0"/>
              <w:jc w:val="center"/>
              <w:rPr>
                <w:rFonts w:ascii="仿宋" w:eastAsia="仿宋" w:hAnsi="仿宋"/>
                <w:szCs w:val="21"/>
              </w:rPr>
            </w:pPr>
            <w:r w:rsidRPr="002D0504">
              <w:rPr>
                <w:rFonts w:ascii="仿宋" w:eastAsia="仿宋" w:hAnsi="仿宋" w:hint="eastAsia"/>
                <w:szCs w:val="21"/>
              </w:rPr>
              <w:t>中国科学院烟台海岸带研究所、山东省环科院股份有限公司、山东农业大学</w:t>
            </w:r>
          </w:p>
        </w:tc>
      </w:tr>
      <w:tr w:rsidR="00985161">
        <w:trPr>
          <w:trHeight w:val="397"/>
          <w:jc w:val="center"/>
        </w:trPr>
        <w:tc>
          <w:tcPr>
            <w:tcW w:w="1615" w:type="dxa"/>
            <w:vAlign w:val="center"/>
          </w:tcPr>
          <w:p w:rsidR="00985161" w:rsidRDefault="002D24F6">
            <w:pPr>
              <w:snapToGrid w:val="0"/>
              <w:jc w:val="center"/>
              <w:rPr>
                <w:rFonts w:ascii="仿宋" w:eastAsia="仿宋" w:hAnsi="仿宋"/>
                <w:b/>
                <w:bCs/>
              </w:rPr>
            </w:pPr>
            <w:r>
              <w:rPr>
                <w:rFonts w:ascii="仿宋" w:eastAsia="仿宋" w:hAnsi="仿宋" w:hint="eastAsia"/>
                <w:b/>
                <w:bCs/>
              </w:rPr>
              <w:t>主要完成人</w:t>
            </w:r>
          </w:p>
        </w:tc>
        <w:tc>
          <w:tcPr>
            <w:tcW w:w="7849" w:type="dxa"/>
            <w:vAlign w:val="center"/>
          </w:tcPr>
          <w:p w:rsidR="00985161" w:rsidRPr="002D0504" w:rsidRDefault="002D0504">
            <w:pPr>
              <w:spacing w:line="360" w:lineRule="auto"/>
              <w:rPr>
                <w:rFonts w:ascii="仿宋" w:eastAsia="仿宋" w:hAnsi="仿宋"/>
                <w:bCs/>
              </w:rPr>
            </w:pPr>
            <w:r w:rsidRPr="002D0504">
              <w:rPr>
                <w:rFonts w:ascii="仿宋" w:eastAsia="仿宋" w:hAnsi="仿宋" w:hint="eastAsia"/>
                <w:bCs/>
              </w:rPr>
              <w:t>盛彦清、李兆冉、刘群群、马涛、黄丽珠、晋春虹、胡娜娜、徐恒铎、楚光玉、孟英杰</w:t>
            </w:r>
          </w:p>
        </w:tc>
      </w:tr>
      <w:tr w:rsidR="00985161" w:rsidTr="00CA7DB3">
        <w:trPr>
          <w:trHeight w:val="4978"/>
          <w:jc w:val="center"/>
        </w:trPr>
        <w:tc>
          <w:tcPr>
            <w:tcW w:w="1615" w:type="dxa"/>
            <w:vAlign w:val="center"/>
          </w:tcPr>
          <w:p w:rsidR="00985161" w:rsidRDefault="002D24F6">
            <w:pPr>
              <w:snapToGrid w:val="0"/>
              <w:jc w:val="center"/>
              <w:rPr>
                <w:rFonts w:ascii="仿宋" w:eastAsia="仿宋" w:hAnsi="仿宋"/>
                <w:b/>
                <w:bCs/>
              </w:rPr>
            </w:pPr>
            <w:r>
              <w:rPr>
                <w:rFonts w:ascii="仿宋" w:eastAsia="仿宋" w:hAnsi="仿宋"/>
                <w:b/>
                <w:bCs/>
              </w:rPr>
              <w:t>推荐意见</w:t>
            </w:r>
          </w:p>
        </w:tc>
        <w:tc>
          <w:tcPr>
            <w:tcW w:w="7849" w:type="dxa"/>
            <w:vAlign w:val="center"/>
          </w:tcPr>
          <w:p w:rsidR="002D0504" w:rsidRPr="002D0504" w:rsidRDefault="002D0504" w:rsidP="002D0504">
            <w:pPr>
              <w:spacing w:line="400" w:lineRule="exact"/>
              <w:ind w:firstLineChars="200" w:firstLine="420"/>
              <w:rPr>
                <w:rFonts w:ascii="仿宋" w:eastAsia="仿宋" w:hAnsi="仿宋" w:hint="eastAsia"/>
                <w:szCs w:val="21"/>
              </w:rPr>
            </w:pPr>
            <w:r w:rsidRPr="002D0504">
              <w:rPr>
                <w:rFonts w:ascii="仿宋" w:eastAsia="仿宋" w:hAnsi="仿宋" w:hint="eastAsia"/>
                <w:szCs w:val="21"/>
              </w:rPr>
              <w:t xml:space="preserve">项目针对沉积物污染风险判别依据不足，原位控制适用性不强，清淤范围和疏浚深度主要依赖经验、混合处置量大且分质减量和安全利用路径不清等行业难题，开展了沉积物污染识别、原位修复、精准疏浚与分质资源化关键技术及应用研究。 </w:t>
            </w:r>
          </w:p>
          <w:p w:rsidR="002D0504" w:rsidRPr="002D0504" w:rsidRDefault="002D0504" w:rsidP="002D0504">
            <w:pPr>
              <w:spacing w:line="400" w:lineRule="exact"/>
              <w:ind w:firstLineChars="200" w:firstLine="420"/>
              <w:rPr>
                <w:rFonts w:ascii="仿宋" w:eastAsia="仿宋" w:hAnsi="仿宋" w:hint="eastAsia"/>
                <w:szCs w:val="21"/>
              </w:rPr>
            </w:pPr>
            <w:r w:rsidRPr="002D0504">
              <w:rPr>
                <w:rFonts w:ascii="仿宋" w:eastAsia="仿宋" w:hAnsi="仿宋" w:hint="eastAsia"/>
                <w:szCs w:val="21"/>
              </w:rPr>
              <w:t xml:space="preserve">建立了总量、形态、孔隙水、界面释放、粒级富集和环境响应相结合的风险识别与分级判定方法，阐明了重金属迁移释放与稳定/再活化机制；研发了污染沉积物原位稳定化修复材料与覆盖调控技术，揭示了材料固定化、沉积物环境调控和生物响应协同机制，形成了低扰动原位修复技术方法；构建了精准疏浚边界判定方法，明确了污染活性层识别、疏浚范围确定和工程实施控制路径；研发了梯级筛分淋洗、多级自控筛分和疏浚全过程智能控制等技术装备，建立了分质资源化技术模式。 </w:t>
            </w:r>
          </w:p>
          <w:p w:rsidR="002D0504" w:rsidRPr="002D0504" w:rsidRDefault="002D0504" w:rsidP="002D0504">
            <w:pPr>
              <w:spacing w:line="400" w:lineRule="exact"/>
              <w:ind w:firstLineChars="200" w:firstLine="420"/>
              <w:rPr>
                <w:rFonts w:ascii="仿宋" w:eastAsia="仿宋" w:hAnsi="仿宋" w:hint="eastAsia"/>
                <w:szCs w:val="21"/>
              </w:rPr>
            </w:pPr>
            <w:r w:rsidRPr="002D0504">
              <w:rPr>
                <w:rFonts w:ascii="仿宋" w:eastAsia="仿宋" w:hAnsi="仿宋" w:hint="eastAsia"/>
                <w:szCs w:val="21"/>
              </w:rPr>
              <w:t xml:space="preserve">项目成果已成功应用于多个示范工程，形成的技术体系对海岸带沉积物治理、水环境改善、疏浚沉积物减量化处置和资源化安全利用具有重要推广价值。 </w:t>
            </w:r>
          </w:p>
          <w:p w:rsidR="00985161" w:rsidRPr="002D0504" w:rsidRDefault="002D0504" w:rsidP="002D0504">
            <w:pPr>
              <w:spacing w:line="400" w:lineRule="exact"/>
              <w:ind w:firstLineChars="200" w:firstLine="420"/>
              <w:rPr>
                <w:rFonts w:ascii="仿宋" w:eastAsia="仿宋" w:hAnsi="仿宋"/>
                <w:szCs w:val="21"/>
              </w:rPr>
            </w:pPr>
            <w:r w:rsidRPr="002D0504">
              <w:rPr>
                <w:rFonts w:ascii="仿宋" w:eastAsia="仿宋" w:hAnsi="仿宋" w:hint="eastAsia"/>
                <w:szCs w:val="21"/>
              </w:rPr>
              <w:t>推荐该项目为2026年度自然资源科学技术奖一等奖或二等奖。</w:t>
            </w:r>
          </w:p>
        </w:tc>
      </w:tr>
      <w:tr w:rsidR="00985161" w:rsidTr="00CA7DB3">
        <w:trPr>
          <w:trHeight w:val="4951"/>
          <w:jc w:val="center"/>
        </w:trPr>
        <w:tc>
          <w:tcPr>
            <w:tcW w:w="1615" w:type="dxa"/>
            <w:vAlign w:val="center"/>
          </w:tcPr>
          <w:p w:rsidR="00985161" w:rsidRDefault="002D24F6">
            <w:pPr>
              <w:snapToGrid w:val="0"/>
              <w:jc w:val="center"/>
              <w:rPr>
                <w:rFonts w:ascii="仿宋" w:eastAsia="仿宋" w:hAnsi="仿宋"/>
                <w:b/>
                <w:bCs/>
              </w:rPr>
            </w:pPr>
            <w:r>
              <w:rPr>
                <w:rFonts w:ascii="仿宋" w:eastAsia="仿宋" w:hAnsi="仿宋"/>
                <w:b/>
                <w:bCs/>
              </w:rPr>
              <w:t>成果简介</w:t>
            </w:r>
          </w:p>
        </w:tc>
        <w:tc>
          <w:tcPr>
            <w:tcW w:w="7849" w:type="dxa"/>
            <w:vAlign w:val="center"/>
          </w:tcPr>
          <w:p w:rsidR="00985161" w:rsidRPr="002D0504" w:rsidRDefault="002D0504">
            <w:pPr>
              <w:spacing w:line="400" w:lineRule="exact"/>
              <w:ind w:firstLineChars="200" w:firstLine="420"/>
              <w:rPr>
                <w:rFonts w:ascii="仿宋" w:eastAsia="仿宋" w:hAnsi="仿宋"/>
              </w:rPr>
            </w:pPr>
            <w:r w:rsidRPr="002D0504">
              <w:rPr>
                <w:rFonts w:ascii="仿宋" w:eastAsia="仿宋" w:hAnsi="仿宋" w:hint="eastAsia"/>
              </w:rPr>
              <w:t>该成果来源于山东省重点研发计划、山东省自然基金重点项目等多个项目。成果针对当前重金属污染沉积物处理处置过程中存在的污染判定与治理决策衔接不足、原位修复环境适应性不足且缺乏精准疏浚技术以及异位治理减量化和资源化水平不高等问题，重点解析了沉积物中重金属赋存形态、孔隙水暴露、界面释放过程，建立了与水功能目标相衔接的沉积物风险判定方法：针对轻中度污染、生态敏感或不宜大范围扰动区域，研发了复合修复材料和原位稳定化控制技术；针对需移除的重污染沉积物，建立了基于污染空间分布、垂向分层和粒级富集特征的精准疏浚边界与深度判定方法；针对疏浚沉积物异位处置，依据粒级分异和淋洗相转移规律，建立了梯级筛分、淋洗、稳定化和分质资源化工艺。通过上述研究，推动了重金属污染沉积物治理由“总量判定、全量清淤、混合处置”向“风险分级、精准疏浚、分类施策、减量控险、梯级利用”转变，为我国海岸带重金属污染沉积物治理和疏浚物安全利用提供系统技术支撑。</w:t>
            </w:r>
          </w:p>
        </w:tc>
      </w:tr>
      <w:tr w:rsidR="00985161" w:rsidTr="00CA7DB3">
        <w:trPr>
          <w:trHeight w:val="2259"/>
          <w:jc w:val="center"/>
        </w:trPr>
        <w:tc>
          <w:tcPr>
            <w:tcW w:w="1615" w:type="dxa"/>
            <w:vAlign w:val="center"/>
          </w:tcPr>
          <w:p w:rsidR="00985161" w:rsidRDefault="002D24F6">
            <w:pPr>
              <w:snapToGrid w:val="0"/>
              <w:jc w:val="center"/>
              <w:rPr>
                <w:rFonts w:ascii="仿宋" w:eastAsia="仿宋" w:hAnsi="仿宋"/>
                <w:b/>
                <w:bCs/>
              </w:rPr>
            </w:pPr>
            <w:r>
              <w:rPr>
                <w:rFonts w:ascii="仿宋" w:eastAsia="仿宋" w:hAnsi="仿宋"/>
                <w:b/>
                <w:bCs/>
              </w:rPr>
              <w:lastRenderedPageBreak/>
              <w:t>客观评价</w:t>
            </w:r>
          </w:p>
        </w:tc>
        <w:tc>
          <w:tcPr>
            <w:tcW w:w="7849" w:type="dxa"/>
            <w:vAlign w:val="center"/>
          </w:tcPr>
          <w:p w:rsidR="00CA7DB3" w:rsidRPr="00CA7DB3" w:rsidRDefault="00CA7DB3" w:rsidP="00CA7DB3">
            <w:pPr>
              <w:spacing w:line="400" w:lineRule="exact"/>
              <w:ind w:firstLineChars="200" w:firstLine="420"/>
              <w:rPr>
                <w:rFonts w:ascii="仿宋" w:eastAsia="仿宋" w:hAnsi="仿宋" w:hint="eastAsia"/>
              </w:rPr>
            </w:pPr>
            <w:r w:rsidRPr="00CA7DB3">
              <w:rPr>
                <w:rFonts w:ascii="仿宋" w:eastAsia="仿宋" w:hAnsi="仿宋" w:hint="eastAsia"/>
              </w:rPr>
              <w:t>科技部西南信息中心（一级科技查新单位）完成的查新报告显示，该成果在所检文献及时限范围内国内外未见相同文献报道，具有新颖性。</w:t>
            </w:r>
          </w:p>
          <w:p w:rsidR="00CA7DB3" w:rsidRPr="00CA7DB3" w:rsidRDefault="00CA7DB3" w:rsidP="00CA7DB3">
            <w:pPr>
              <w:spacing w:line="400" w:lineRule="exact"/>
              <w:ind w:firstLineChars="200" w:firstLine="420"/>
              <w:rPr>
                <w:rFonts w:ascii="仿宋" w:eastAsia="仿宋" w:hAnsi="仿宋" w:hint="eastAsia"/>
              </w:rPr>
            </w:pPr>
            <w:r w:rsidRPr="00CA7DB3">
              <w:rPr>
                <w:rFonts w:ascii="仿宋" w:eastAsia="仿宋" w:hAnsi="仿宋" w:hint="eastAsia"/>
              </w:rPr>
              <w:t>2026年7月，中国海洋湖沼学会组织的专家鉴定委员会认为，该成果在沉积物原位分类修复、异位分质处理及资源化利用等方面达到国际领先水平。</w:t>
            </w:r>
          </w:p>
          <w:p w:rsidR="00985161" w:rsidRPr="002D0504" w:rsidRDefault="00CA7DB3" w:rsidP="00CA7DB3">
            <w:pPr>
              <w:spacing w:line="400" w:lineRule="exact"/>
              <w:ind w:firstLineChars="200" w:firstLine="420"/>
              <w:rPr>
                <w:rFonts w:ascii="仿宋" w:eastAsia="仿宋" w:hAnsi="仿宋"/>
              </w:rPr>
            </w:pPr>
            <w:r w:rsidRPr="00CA7DB3">
              <w:rPr>
                <w:rFonts w:ascii="仿宋" w:eastAsia="仿宋" w:hAnsi="仿宋" w:hint="eastAsia"/>
              </w:rPr>
              <w:t>成果依托的多个科研项目以“优秀”等级通过验收结题。</w:t>
            </w:r>
          </w:p>
        </w:tc>
      </w:tr>
      <w:tr w:rsidR="00985161" w:rsidTr="00CA7DB3">
        <w:trPr>
          <w:trHeight w:val="562"/>
          <w:jc w:val="center"/>
        </w:trPr>
        <w:tc>
          <w:tcPr>
            <w:tcW w:w="1615" w:type="dxa"/>
            <w:vMerge w:val="restart"/>
            <w:vAlign w:val="center"/>
          </w:tcPr>
          <w:p w:rsidR="00985161" w:rsidRDefault="002D24F6">
            <w:pPr>
              <w:snapToGrid w:val="0"/>
              <w:jc w:val="center"/>
              <w:rPr>
                <w:rFonts w:ascii="仿宋" w:eastAsia="仿宋" w:hAnsi="仿宋"/>
                <w:b/>
                <w:bCs/>
              </w:rPr>
            </w:pPr>
            <w:r>
              <w:rPr>
                <w:rFonts w:ascii="仿宋" w:eastAsia="仿宋" w:hAnsi="仿宋"/>
                <w:b/>
                <w:bCs/>
              </w:rPr>
              <w:t>主要知识产权目录</w:t>
            </w:r>
          </w:p>
        </w:tc>
        <w:tc>
          <w:tcPr>
            <w:tcW w:w="7849" w:type="dxa"/>
            <w:vAlign w:val="center"/>
          </w:tcPr>
          <w:p w:rsidR="00985161" w:rsidRPr="002D0504" w:rsidRDefault="00CA7DB3">
            <w:pPr>
              <w:pStyle w:val="a4"/>
              <w:spacing w:line="240" w:lineRule="auto"/>
              <w:ind w:firstLineChars="0" w:firstLine="0"/>
              <w:jc w:val="left"/>
              <w:rPr>
                <w:rFonts w:ascii="仿宋" w:eastAsia="仿宋" w:hAnsi="仿宋"/>
                <w:color w:val="000000"/>
                <w:sz w:val="21"/>
                <w:szCs w:val="21"/>
              </w:rPr>
            </w:pPr>
            <w:r w:rsidRPr="00CA7DB3">
              <w:rPr>
                <w:rFonts w:ascii="仿宋" w:eastAsia="仿宋" w:hAnsi="仿宋" w:hint="eastAsia"/>
                <w:color w:val="000000"/>
                <w:sz w:val="21"/>
                <w:szCs w:val="21"/>
              </w:rPr>
              <w:t>一种滨海黑臭河道的水质原位修复系统，ZL201410013332.3</w:t>
            </w:r>
          </w:p>
        </w:tc>
      </w:tr>
      <w:tr w:rsidR="00985161" w:rsidTr="00CA7DB3">
        <w:trPr>
          <w:trHeight w:val="542"/>
          <w:jc w:val="center"/>
        </w:trPr>
        <w:tc>
          <w:tcPr>
            <w:tcW w:w="1615" w:type="dxa"/>
            <w:vMerge/>
            <w:vAlign w:val="center"/>
          </w:tcPr>
          <w:p w:rsidR="00985161" w:rsidRDefault="00985161">
            <w:pPr>
              <w:snapToGrid w:val="0"/>
              <w:jc w:val="center"/>
              <w:rPr>
                <w:rFonts w:ascii="仿宋" w:eastAsia="仿宋" w:hAnsi="仿宋"/>
                <w:b/>
                <w:bCs/>
              </w:rPr>
            </w:pPr>
          </w:p>
        </w:tc>
        <w:tc>
          <w:tcPr>
            <w:tcW w:w="7849" w:type="dxa"/>
            <w:vAlign w:val="center"/>
          </w:tcPr>
          <w:p w:rsidR="00985161" w:rsidRPr="002D0504" w:rsidRDefault="00CA7DB3">
            <w:pPr>
              <w:pStyle w:val="a4"/>
              <w:spacing w:line="240" w:lineRule="auto"/>
              <w:ind w:firstLineChars="0" w:firstLine="0"/>
              <w:jc w:val="left"/>
              <w:rPr>
                <w:rFonts w:ascii="仿宋" w:eastAsia="仿宋" w:hAnsi="仿宋"/>
                <w:color w:val="000000"/>
                <w:sz w:val="21"/>
                <w:szCs w:val="21"/>
              </w:rPr>
            </w:pPr>
            <w:r w:rsidRPr="00CA7DB3">
              <w:rPr>
                <w:rFonts w:ascii="仿宋" w:eastAsia="仿宋" w:hAnsi="仿宋" w:hint="eastAsia"/>
                <w:color w:val="000000"/>
                <w:sz w:val="21"/>
                <w:szCs w:val="21"/>
              </w:rPr>
              <w:t>一种污染河道的原位清淤、增氧及景观构建方法，ZL201410720539.4</w:t>
            </w:r>
          </w:p>
        </w:tc>
      </w:tr>
      <w:tr w:rsidR="00985161" w:rsidTr="00CA7DB3">
        <w:trPr>
          <w:trHeight w:val="564"/>
          <w:jc w:val="center"/>
        </w:trPr>
        <w:tc>
          <w:tcPr>
            <w:tcW w:w="1615" w:type="dxa"/>
            <w:vMerge/>
            <w:vAlign w:val="center"/>
          </w:tcPr>
          <w:p w:rsidR="00985161" w:rsidRDefault="00985161">
            <w:pPr>
              <w:snapToGrid w:val="0"/>
              <w:jc w:val="center"/>
              <w:rPr>
                <w:rFonts w:ascii="仿宋" w:eastAsia="仿宋" w:hAnsi="仿宋"/>
                <w:b/>
                <w:bCs/>
              </w:rPr>
            </w:pPr>
          </w:p>
        </w:tc>
        <w:tc>
          <w:tcPr>
            <w:tcW w:w="7849" w:type="dxa"/>
            <w:vAlign w:val="center"/>
          </w:tcPr>
          <w:p w:rsidR="00985161" w:rsidRPr="002D0504" w:rsidRDefault="00CA7DB3">
            <w:pPr>
              <w:pStyle w:val="a4"/>
              <w:spacing w:line="240" w:lineRule="auto"/>
              <w:ind w:firstLineChars="0" w:firstLine="0"/>
              <w:jc w:val="left"/>
              <w:rPr>
                <w:rFonts w:ascii="仿宋" w:eastAsia="仿宋" w:hAnsi="仿宋"/>
                <w:color w:val="000000"/>
                <w:sz w:val="21"/>
                <w:szCs w:val="21"/>
              </w:rPr>
            </w:pPr>
            <w:r w:rsidRPr="00CA7DB3">
              <w:rPr>
                <w:rFonts w:ascii="仿宋" w:eastAsia="仿宋" w:hAnsi="仿宋" w:hint="eastAsia"/>
                <w:color w:val="000000"/>
                <w:sz w:val="21"/>
                <w:szCs w:val="21"/>
              </w:rPr>
              <w:t>季节性河流重金属污染底泥疏浚和异位治理方法及系统，ZL201510237304.4</w:t>
            </w:r>
          </w:p>
        </w:tc>
      </w:tr>
      <w:tr w:rsidR="00985161" w:rsidTr="00CA7DB3">
        <w:trPr>
          <w:trHeight w:val="572"/>
          <w:jc w:val="center"/>
        </w:trPr>
        <w:tc>
          <w:tcPr>
            <w:tcW w:w="1615" w:type="dxa"/>
            <w:vMerge/>
            <w:vAlign w:val="center"/>
          </w:tcPr>
          <w:p w:rsidR="00985161" w:rsidRDefault="00985161">
            <w:pPr>
              <w:snapToGrid w:val="0"/>
              <w:jc w:val="center"/>
              <w:rPr>
                <w:rFonts w:ascii="仿宋" w:eastAsia="仿宋" w:hAnsi="仿宋"/>
                <w:b/>
                <w:bCs/>
              </w:rPr>
            </w:pPr>
          </w:p>
        </w:tc>
        <w:tc>
          <w:tcPr>
            <w:tcW w:w="7849" w:type="dxa"/>
            <w:vAlign w:val="center"/>
          </w:tcPr>
          <w:p w:rsidR="00985161" w:rsidRPr="002D0504" w:rsidRDefault="00CA7DB3">
            <w:pPr>
              <w:pStyle w:val="a4"/>
              <w:spacing w:line="240" w:lineRule="auto"/>
              <w:ind w:firstLineChars="0" w:firstLine="0"/>
              <w:jc w:val="left"/>
              <w:rPr>
                <w:rFonts w:ascii="仿宋" w:eastAsia="仿宋" w:hAnsi="仿宋"/>
                <w:color w:val="000000"/>
                <w:sz w:val="21"/>
                <w:szCs w:val="21"/>
              </w:rPr>
            </w:pPr>
            <w:r w:rsidRPr="00CA7DB3">
              <w:rPr>
                <w:rFonts w:ascii="仿宋" w:eastAsia="仿宋" w:hAnsi="仿宋" w:hint="eastAsia"/>
                <w:color w:val="000000"/>
                <w:sz w:val="21"/>
                <w:szCs w:val="21"/>
              </w:rPr>
              <w:t>一种浅水区水下深层柱状沉积物采集装置，ZL201610489817.9</w:t>
            </w:r>
          </w:p>
        </w:tc>
      </w:tr>
      <w:tr w:rsidR="00985161" w:rsidTr="00CA7DB3">
        <w:trPr>
          <w:trHeight w:val="552"/>
          <w:jc w:val="center"/>
        </w:trPr>
        <w:tc>
          <w:tcPr>
            <w:tcW w:w="1615" w:type="dxa"/>
            <w:vMerge/>
            <w:vAlign w:val="center"/>
          </w:tcPr>
          <w:p w:rsidR="00985161" w:rsidRDefault="00985161">
            <w:pPr>
              <w:snapToGrid w:val="0"/>
              <w:jc w:val="center"/>
              <w:rPr>
                <w:rFonts w:ascii="仿宋" w:eastAsia="仿宋" w:hAnsi="仿宋"/>
                <w:b/>
                <w:bCs/>
              </w:rPr>
            </w:pPr>
          </w:p>
        </w:tc>
        <w:tc>
          <w:tcPr>
            <w:tcW w:w="7849" w:type="dxa"/>
            <w:vAlign w:val="center"/>
          </w:tcPr>
          <w:p w:rsidR="00985161" w:rsidRPr="002D0504" w:rsidRDefault="00CA7DB3">
            <w:pPr>
              <w:pStyle w:val="a4"/>
              <w:spacing w:line="240" w:lineRule="auto"/>
              <w:ind w:firstLineChars="0" w:firstLine="0"/>
              <w:jc w:val="left"/>
              <w:rPr>
                <w:rFonts w:ascii="仿宋" w:eastAsia="仿宋" w:hAnsi="仿宋"/>
                <w:color w:val="000000"/>
                <w:sz w:val="21"/>
                <w:szCs w:val="21"/>
              </w:rPr>
            </w:pPr>
            <w:r w:rsidRPr="00CA7DB3">
              <w:rPr>
                <w:rFonts w:ascii="仿宋" w:eastAsia="仿宋" w:hAnsi="仿宋" w:hint="eastAsia"/>
                <w:color w:val="000000"/>
                <w:sz w:val="21"/>
                <w:szCs w:val="21"/>
              </w:rPr>
              <w:t>一种基于粒径分布的重金属污染底泥处置方法，ZL201510232860.2</w:t>
            </w:r>
          </w:p>
        </w:tc>
      </w:tr>
      <w:tr w:rsidR="00985161" w:rsidTr="00CA7DB3">
        <w:trPr>
          <w:trHeight w:val="546"/>
          <w:jc w:val="center"/>
        </w:trPr>
        <w:tc>
          <w:tcPr>
            <w:tcW w:w="1615" w:type="dxa"/>
            <w:vMerge/>
            <w:vAlign w:val="center"/>
          </w:tcPr>
          <w:p w:rsidR="00985161" w:rsidRDefault="00985161">
            <w:pPr>
              <w:snapToGrid w:val="0"/>
              <w:jc w:val="center"/>
              <w:rPr>
                <w:rFonts w:ascii="仿宋" w:eastAsia="仿宋" w:hAnsi="仿宋"/>
                <w:b/>
                <w:bCs/>
              </w:rPr>
            </w:pPr>
          </w:p>
        </w:tc>
        <w:tc>
          <w:tcPr>
            <w:tcW w:w="7849" w:type="dxa"/>
            <w:vAlign w:val="center"/>
          </w:tcPr>
          <w:p w:rsidR="00985161" w:rsidRPr="002D0504" w:rsidRDefault="00CA7DB3">
            <w:pPr>
              <w:pStyle w:val="a4"/>
              <w:spacing w:line="240" w:lineRule="auto"/>
              <w:ind w:firstLineChars="0" w:firstLine="0"/>
              <w:jc w:val="left"/>
              <w:rPr>
                <w:rFonts w:ascii="仿宋" w:eastAsia="仿宋" w:hAnsi="仿宋"/>
                <w:color w:val="000000"/>
                <w:sz w:val="21"/>
                <w:szCs w:val="21"/>
              </w:rPr>
            </w:pPr>
            <w:r w:rsidRPr="00CA7DB3">
              <w:rPr>
                <w:rFonts w:ascii="仿宋" w:eastAsia="仿宋" w:hAnsi="仿宋" w:hint="eastAsia"/>
                <w:color w:val="000000"/>
                <w:sz w:val="21"/>
                <w:szCs w:val="21"/>
              </w:rPr>
              <w:t>一种环保装备的嵌入式智能控制系统V1.0，2023SR0893909</w:t>
            </w:r>
          </w:p>
        </w:tc>
      </w:tr>
      <w:tr w:rsidR="00985161" w:rsidTr="00CA7DB3">
        <w:trPr>
          <w:trHeight w:val="554"/>
          <w:jc w:val="center"/>
        </w:trPr>
        <w:tc>
          <w:tcPr>
            <w:tcW w:w="1615" w:type="dxa"/>
            <w:vMerge/>
            <w:vAlign w:val="center"/>
          </w:tcPr>
          <w:p w:rsidR="00985161" w:rsidRDefault="00985161">
            <w:pPr>
              <w:snapToGrid w:val="0"/>
              <w:jc w:val="center"/>
              <w:rPr>
                <w:rFonts w:ascii="仿宋" w:eastAsia="仿宋" w:hAnsi="仿宋"/>
                <w:b/>
                <w:bCs/>
              </w:rPr>
            </w:pPr>
          </w:p>
        </w:tc>
        <w:tc>
          <w:tcPr>
            <w:tcW w:w="7849" w:type="dxa"/>
            <w:vAlign w:val="center"/>
          </w:tcPr>
          <w:p w:rsidR="00985161" w:rsidRPr="002D0504" w:rsidRDefault="00CA7DB3">
            <w:pPr>
              <w:pStyle w:val="a4"/>
              <w:spacing w:line="240" w:lineRule="auto"/>
              <w:ind w:firstLineChars="0" w:firstLine="0"/>
              <w:jc w:val="left"/>
              <w:rPr>
                <w:rFonts w:ascii="仿宋" w:eastAsia="仿宋" w:hAnsi="仿宋"/>
                <w:color w:val="000000"/>
                <w:sz w:val="21"/>
                <w:szCs w:val="21"/>
              </w:rPr>
            </w:pPr>
            <w:r w:rsidRPr="00CA7DB3">
              <w:rPr>
                <w:rFonts w:ascii="仿宋" w:eastAsia="仿宋" w:hAnsi="仿宋" w:hint="eastAsia"/>
                <w:color w:val="000000"/>
                <w:sz w:val="21"/>
                <w:szCs w:val="21"/>
              </w:rPr>
              <w:t>海岸带污染水体水质修复理论及工程应用, 科学出版社, 2018</w:t>
            </w:r>
          </w:p>
        </w:tc>
      </w:tr>
    </w:tbl>
    <w:p w:rsidR="00985161" w:rsidRDefault="00985161">
      <w:pPr>
        <w:widowControl/>
        <w:jc w:val="left"/>
        <w:rPr>
          <w:rFonts w:ascii="仿宋" w:eastAsia="仿宋" w:hAnsi="仿宋" w:cs="Times New Roman"/>
          <w:sz w:val="32"/>
          <w:szCs w:val="32"/>
        </w:rPr>
      </w:pPr>
      <w:bookmarkStart w:id="0" w:name="_GoBack"/>
      <w:bookmarkEnd w:id="0"/>
    </w:p>
    <w:sectPr w:rsidR="00985161">
      <w:footerReference w:type="default" r:id="rId8"/>
      <w:pgSz w:w="11906" w:h="16838"/>
      <w:pgMar w:top="1985" w:right="1134" w:bottom="1440" w:left="1701" w:header="851" w:footer="992" w:gutter="0"/>
      <w:pgNumType w:fmt="numberInDash"/>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4F6" w:rsidRDefault="002D24F6">
      <w:r>
        <w:separator/>
      </w:r>
    </w:p>
  </w:endnote>
  <w:endnote w:type="continuationSeparator" w:id="0">
    <w:p w:rsidR="002D24F6" w:rsidRDefault="002D2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161" w:rsidRDefault="002D24F6">
    <w:pPr>
      <w:pStyle w:val="a7"/>
      <w:jc w:val="center"/>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384175"/>
              <wp:effectExtent l="0" t="0" r="0" b="952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384175"/>
                      </a:xfrm>
                      <a:prstGeom prst="rect">
                        <a:avLst/>
                      </a:prstGeom>
                      <a:noFill/>
                      <a:ln>
                        <a:noFill/>
                      </a:ln>
                    </wps:spPr>
                    <wps:txbx>
                      <w:txbxContent>
                        <w:p w:rsidR="00985161" w:rsidRDefault="002D24F6">
                          <w:pPr>
                            <w:pStyle w:val="a7"/>
                            <w:rPr>
                              <w:rStyle w:val="ac"/>
                              <w:rFonts w:ascii="宋体" w:hAnsi="宋体" w:cs="宋体"/>
                              <w:sz w:val="28"/>
                              <w:szCs w:val="28"/>
                            </w:rPr>
                          </w:pPr>
                          <w:r>
                            <w:rPr>
                              <w:rFonts w:ascii="宋体" w:hAnsi="宋体" w:cs="宋体" w:hint="eastAsia"/>
                              <w:sz w:val="28"/>
                              <w:szCs w:val="28"/>
                            </w:rPr>
                            <w:fldChar w:fldCharType="begin"/>
                          </w:r>
                          <w:r>
                            <w:rPr>
                              <w:rStyle w:val="ac"/>
                              <w:rFonts w:ascii="宋体" w:hAnsi="宋体" w:cs="宋体" w:hint="eastAsia"/>
                              <w:sz w:val="28"/>
                              <w:szCs w:val="28"/>
                            </w:rPr>
                            <w:instrText xml:space="preserve">PAGE  </w:instrText>
                          </w:r>
                          <w:r>
                            <w:rPr>
                              <w:rFonts w:ascii="宋体" w:hAnsi="宋体" w:cs="宋体" w:hint="eastAsia"/>
                              <w:sz w:val="28"/>
                              <w:szCs w:val="28"/>
                            </w:rPr>
                            <w:fldChar w:fldCharType="separate"/>
                          </w:r>
                          <w:r w:rsidR="00CA7DB3">
                            <w:rPr>
                              <w:rStyle w:val="ac"/>
                              <w:rFonts w:ascii="宋体" w:hAnsi="宋体" w:cs="宋体"/>
                              <w:noProof/>
                              <w:sz w:val="28"/>
                              <w:szCs w:val="28"/>
                            </w:rPr>
                            <w:t>- 2 -</w:t>
                          </w:r>
                          <w:r>
                            <w:rPr>
                              <w:rFonts w:ascii="宋体" w:hAnsi="宋体" w:cs="宋体" w:hint="eastAsia"/>
                              <w:sz w:val="28"/>
                              <w:szCs w:val="28"/>
                            </w:rPr>
                            <w:fldChar w:fldCharType="end"/>
                          </w:r>
                        </w:p>
                        <w:p w:rsidR="00985161" w:rsidRDefault="00985161"/>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15pt;margin-top:0;width:42.05pt;height:30.25pt;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" filled="f" stroked="f">
              <v:textbox style="mso-fit-shape-to-text:t" inset="0,0,0,0">
                <w:txbxContent>
                  <w:p w:rsidR="00985161" w:rsidRDefault="002D24F6">
                    <w:pPr>
                      <w:pStyle w:val="a7"/>
                      <w:rPr>
                        <w:rStyle w:val="ac"/>
                        <w:rFonts w:ascii="宋体" w:hAnsi="宋体" w:cs="宋体"/>
                        <w:sz w:val="28"/>
                        <w:szCs w:val="28"/>
                      </w:rPr>
                    </w:pPr>
                    <w:r>
                      <w:rPr>
                        <w:rFonts w:ascii="宋体" w:hAnsi="宋体" w:cs="宋体" w:hint="eastAsia"/>
                        <w:sz w:val="28"/>
                        <w:szCs w:val="28"/>
                      </w:rPr>
                      <w:fldChar w:fldCharType="begin"/>
                    </w:r>
                    <w:r>
                      <w:rPr>
                        <w:rStyle w:val="ac"/>
                        <w:rFonts w:ascii="宋体" w:hAnsi="宋体" w:cs="宋体" w:hint="eastAsia"/>
                        <w:sz w:val="28"/>
                        <w:szCs w:val="28"/>
                      </w:rPr>
                      <w:instrText xml:space="preserve">PAGE  </w:instrText>
                    </w:r>
                    <w:r>
                      <w:rPr>
                        <w:rFonts w:ascii="宋体" w:hAnsi="宋体" w:cs="宋体" w:hint="eastAsia"/>
                        <w:sz w:val="28"/>
                        <w:szCs w:val="28"/>
                      </w:rPr>
                      <w:fldChar w:fldCharType="separate"/>
                    </w:r>
                    <w:r w:rsidR="00CA7DB3">
                      <w:rPr>
                        <w:rStyle w:val="ac"/>
                        <w:rFonts w:ascii="宋体" w:hAnsi="宋体" w:cs="宋体"/>
                        <w:noProof/>
                        <w:sz w:val="28"/>
                        <w:szCs w:val="28"/>
                      </w:rPr>
                      <w:t>- 2 -</w:t>
                    </w:r>
                    <w:r>
                      <w:rPr>
                        <w:rFonts w:ascii="宋体" w:hAnsi="宋体" w:cs="宋体" w:hint="eastAsia"/>
                        <w:sz w:val="28"/>
                        <w:szCs w:val="28"/>
                      </w:rPr>
                      <w:fldChar w:fldCharType="end"/>
                    </w:r>
                  </w:p>
                  <w:p w:rsidR="00985161" w:rsidRDefault="00985161"/>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4F6" w:rsidRDefault="002D24F6">
      <w:r>
        <w:separator/>
      </w:r>
    </w:p>
  </w:footnote>
  <w:footnote w:type="continuationSeparator" w:id="0">
    <w:p w:rsidR="002D24F6" w:rsidRDefault="002D24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95A"/>
    <w:rsid w:val="00003708"/>
    <w:rsid w:val="00036537"/>
    <w:rsid w:val="00080269"/>
    <w:rsid w:val="000959FC"/>
    <w:rsid w:val="00095A71"/>
    <w:rsid w:val="000B1C55"/>
    <w:rsid w:val="000C2908"/>
    <w:rsid w:val="000C2D2F"/>
    <w:rsid w:val="000D0155"/>
    <w:rsid w:val="000E5230"/>
    <w:rsid w:val="000E5B9A"/>
    <w:rsid w:val="000E640E"/>
    <w:rsid w:val="000F02CD"/>
    <w:rsid w:val="000F1EF7"/>
    <w:rsid w:val="001000CF"/>
    <w:rsid w:val="001023DA"/>
    <w:rsid w:val="00105906"/>
    <w:rsid w:val="00122C7E"/>
    <w:rsid w:val="001240B6"/>
    <w:rsid w:val="001241D6"/>
    <w:rsid w:val="001342E5"/>
    <w:rsid w:val="00145C70"/>
    <w:rsid w:val="00155455"/>
    <w:rsid w:val="001605A3"/>
    <w:rsid w:val="001749C9"/>
    <w:rsid w:val="001A2255"/>
    <w:rsid w:val="001C4FF0"/>
    <w:rsid w:val="001E5C71"/>
    <w:rsid w:val="001F4357"/>
    <w:rsid w:val="00225FBE"/>
    <w:rsid w:val="00232232"/>
    <w:rsid w:val="00271925"/>
    <w:rsid w:val="0027498D"/>
    <w:rsid w:val="002A1895"/>
    <w:rsid w:val="002A7752"/>
    <w:rsid w:val="002B55AD"/>
    <w:rsid w:val="002C7984"/>
    <w:rsid w:val="002D0504"/>
    <w:rsid w:val="002D24F6"/>
    <w:rsid w:val="002D495A"/>
    <w:rsid w:val="002D5360"/>
    <w:rsid w:val="002D5421"/>
    <w:rsid w:val="002E11FC"/>
    <w:rsid w:val="002F2BA0"/>
    <w:rsid w:val="002F2E35"/>
    <w:rsid w:val="002F4BBF"/>
    <w:rsid w:val="0030207A"/>
    <w:rsid w:val="00304317"/>
    <w:rsid w:val="00324B95"/>
    <w:rsid w:val="00335243"/>
    <w:rsid w:val="00335CF6"/>
    <w:rsid w:val="003543E2"/>
    <w:rsid w:val="00355235"/>
    <w:rsid w:val="003618CB"/>
    <w:rsid w:val="00363B58"/>
    <w:rsid w:val="00363E73"/>
    <w:rsid w:val="003650B7"/>
    <w:rsid w:val="003A7B7F"/>
    <w:rsid w:val="003B1236"/>
    <w:rsid w:val="003C2D63"/>
    <w:rsid w:val="003D2823"/>
    <w:rsid w:val="0040006E"/>
    <w:rsid w:val="00405E74"/>
    <w:rsid w:val="0041300E"/>
    <w:rsid w:val="00424599"/>
    <w:rsid w:val="00424827"/>
    <w:rsid w:val="00430699"/>
    <w:rsid w:val="00431E48"/>
    <w:rsid w:val="00433CBE"/>
    <w:rsid w:val="00433E57"/>
    <w:rsid w:val="0044494F"/>
    <w:rsid w:val="00460169"/>
    <w:rsid w:val="00463562"/>
    <w:rsid w:val="00482F98"/>
    <w:rsid w:val="00496B4B"/>
    <w:rsid w:val="004A648A"/>
    <w:rsid w:val="004E7888"/>
    <w:rsid w:val="004F4CBD"/>
    <w:rsid w:val="005039CE"/>
    <w:rsid w:val="00511A13"/>
    <w:rsid w:val="00553AB5"/>
    <w:rsid w:val="00587609"/>
    <w:rsid w:val="0059566B"/>
    <w:rsid w:val="005D431C"/>
    <w:rsid w:val="005E415D"/>
    <w:rsid w:val="005F682D"/>
    <w:rsid w:val="00615181"/>
    <w:rsid w:val="006300A7"/>
    <w:rsid w:val="00632731"/>
    <w:rsid w:val="00644642"/>
    <w:rsid w:val="00655D5D"/>
    <w:rsid w:val="00664CFA"/>
    <w:rsid w:val="0067381B"/>
    <w:rsid w:val="00681E39"/>
    <w:rsid w:val="006A0A3B"/>
    <w:rsid w:val="006B2D1F"/>
    <w:rsid w:val="006E424B"/>
    <w:rsid w:val="007006CB"/>
    <w:rsid w:val="0070314F"/>
    <w:rsid w:val="0070359F"/>
    <w:rsid w:val="00737507"/>
    <w:rsid w:val="007440BD"/>
    <w:rsid w:val="00745B07"/>
    <w:rsid w:val="00750A5F"/>
    <w:rsid w:val="00760129"/>
    <w:rsid w:val="00764E0E"/>
    <w:rsid w:val="00771B00"/>
    <w:rsid w:val="007A3F49"/>
    <w:rsid w:val="007C3F02"/>
    <w:rsid w:val="00833442"/>
    <w:rsid w:val="00855137"/>
    <w:rsid w:val="00862230"/>
    <w:rsid w:val="00867DDF"/>
    <w:rsid w:val="008C4D62"/>
    <w:rsid w:val="008E103B"/>
    <w:rsid w:val="008E2821"/>
    <w:rsid w:val="008E51C8"/>
    <w:rsid w:val="008E5FBB"/>
    <w:rsid w:val="008E62F7"/>
    <w:rsid w:val="009008EC"/>
    <w:rsid w:val="0090784A"/>
    <w:rsid w:val="00917134"/>
    <w:rsid w:val="009244BA"/>
    <w:rsid w:val="00971049"/>
    <w:rsid w:val="00985161"/>
    <w:rsid w:val="009A152B"/>
    <w:rsid w:val="009A5C88"/>
    <w:rsid w:val="009A7D7D"/>
    <w:rsid w:val="009D17A3"/>
    <w:rsid w:val="009D2684"/>
    <w:rsid w:val="00A02EA1"/>
    <w:rsid w:val="00A03867"/>
    <w:rsid w:val="00A1386F"/>
    <w:rsid w:val="00A252D5"/>
    <w:rsid w:val="00A274C7"/>
    <w:rsid w:val="00A33ECC"/>
    <w:rsid w:val="00A57C25"/>
    <w:rsid w:val="00A633AF"/>
    <w:rsid w:val="00A65E1C"/>
    <w:rsid w:val="00A678D4"/>
    <w:rsid w:val="00A67E32"/>
    <w:rsid w:val="00A97562"/>
    <w:rsid w:val="00AC170F"/>
    <w:rsid w:val="00AD2762"/>
    <w:rsid w:val="00B0275B"/>
    <w:rsid w:val="00B240A2"/>
    <w:rsid w:val="00B272A4"/>
    <w:rsid w:val="00B42C5A"/>
    <w:rsid w:val="00B51B49"/>
    <w:rsid w:val="00B552F0"/>
    <w:rsid w:val="00B635BB"/>
    <w:rsid w:val="00B74063"/>
    <w:rsid w:val="00BB0B3C"/>
    <w:rsid w:val="00BE1749"/>
    <w:rsid w:val="00C01722"/>
    <w:rsid w:val="00C1503B"/>
    <w:rsid w:val="00C20356"/>
    <w:rsid w:val="00C257C6"/>
    <w:rsid w:val="00C32665"/>
    <w:rsid w:val="00C44DFC"/>
    <w:rsid w:val="00C53039"/>
    <w:rsid w:val="00C55FF8"/>
    <w:rsid w:val="00C57970"/>
    <w:rsid w:val="00C73ADE"/>
    <w:rsid w:val="00C75EAA"/>
    <w:rsid w:val="00C820B6"/>
    <w:rsid w:val="00C843BC"/>
    <w:rsid w:val="00CA7DB3"/>
    <w:rsid w:val="00CB39F1"/>
    <w:rsid w:val="00CB5904"/>
    <w:rsid w:val="00CC7207"/>
    <w:rsid w:val="00CD164C"/>
    <w:rsid w:val="00CD72C8"/>
    <w:rsid w:val="00CE1A19"/>
    <w:rsid w:val="00CE2CC4"/>
    <w:rsid w:val="00CF5837"/>
    <w:rsid w:val="00CF7CE1"/>
    <w:rsid w:val="00D26ED4"/>
    <w:rsid w:val="00D355DD"/>
    <w:rsid w:val="00D45130"/>
    <w:rsid w:val="00D62384"/>
    <w:rsid w:val="00D751DA"/>
    <w:rsid w:val="00D87781"/>
    <w:rsid w:val="00DD3ED9"/>
    <w:rsid w:val="00DD6041"/>
    <w:rsid w:val="00DE359E"/>
    <w:rsid w:val="00DF639F"/>
    <w:rsid w:val="00E05A72"/>
    <w:rsid w:val="00E14A76"/>
    <w:rsid w:val="00E30997"/>
    <w:rsid w:val="00E31DE2"/>
    <w:rsid w:val="00E32327"/>
    <w:rsid w:val="00E4298F"/>
    <w:rsid w:val="00E53BB5"/>
    <w:rsid w:val="00E67C35"/>
    <w:rsid w:val="00E720A6"/>
    <w:rsid w:val="00E872E7"/>
    <w:rsid w:val="00EE0600"/>
    <w:rsid w:val="00EF6A6C"/>
    <w:rsid w:val="00F22718"/>
    <w:rsid w:val="00F25AED"/>
    <w:rsid w:val="00F3258A"/>
    <w:rsid w:val="00F356EB"/>
    <w:rsid w:val="00F37536"/>
    <w:rsid w:val="00F44EAC"/>
    <w:rsid w:val="00F476D9"/>
    <w:rsid w:val="00F61182"/>
    <w:rsid w:val="00F95726"/>
    <w:rsid w:val="00F95AF7"/>
    <w:rsid w:val="00FB5165"/>
    <w:rsid w:val="00FE2312"/>
    <w:rsid w:val="00FF373A"/>
    <w:rsid w:val="2197632B"/>
    <w:rsid w:val="5C6471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uiPriority="0" w:qFormat="1"/>
    <w:lsdException w:name="footer" w:semiHidden="0" w:qFormat="1"/>
    <w:lsdException w:name="caption" w:uiPriority="35"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qFormat="1"/>
    <w:lsdException w:name="Normal Table" w:qFormat="1"/>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1"/>
    <w:qFormat/>
    <w:pPr>
      <w:keepNext/>
      <w:jc w:val="center"/>
      <w:outlineLvl w:val="0"/>
    </w:pPr>
    <w:rPr>
      <w:rFonts w:ascii="仿宋_GB2312" w:eastAsia="仿宋_GB2312" w:hAnsi="Times New Roman" w:cs="Times New Roman"/>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style>
  <w:style w:type="paragraph" w:styleId="a4">
    <w:name w:val="Plain Text"/>
    <w:basedOn w:val="a"/>
    <w:link w:val="Char0"/>
    <w:qFormat/>
    <w:pPr>
      <w:spacing w:line="360" w:lineRule="auto"/>
      <w:ind w:firstLineChars="200" w:firstLine="480"/>
    </w:pPr>
    <w:rPr>
      <w:rFonts w:ascii="仿宋_GB2312" w:eastAsia="宋体" w:hAnsi="Times New Roman" w:cs="Times New Roman"/>
      <w:sz w:val="24"/>
      <w:szCs w:val="24"/>
    </w:rPr>
  </w:style>
  <w:style w:type="paragraph" w:styleId="a5">
    <w:name w:val="Date"/>
    <w:basedOn w:val="a"/>
    <w:next w:val="a"/>
    <w:link w:val="Char1"/>
    <w:uiPriority w:val="99"/>
    <w:semiHidden/>
    <w:unhideWhenUsed/>
    <w:qFormat/>
    <w:pPr>
      <w:ind w:leftChars="2500" w:left="100"/>
    </w:pPr>
  </w:style>
  <w:style w:type="paragraph" w:styleId="a6">
    <w:name w:val="Balloon Text"/>
    <w:basedOn w:val="a"/>
    <w:link w:val="Char10"/>
    <w:uiPriority w:val="99"/>
    <w:unhideWhenUsed/>
    <w:qFormat/>
    <w:rPr>
      <w:sz w:val="18"/>
      <w:szCs w:val="18"/>
    </w:rPr>
  </w:style>
  <w:style w:type="paragraph" w:styleId="a7">
    <w:name w:val="footer"/>
    <w:basedOn w:val="a"/>
    <w:link w:val="Char2"/>
    <w:uiPriority w:val="99"/>
    <w:unhideWhenUsed/>
    <w:qFormat/>
    <w:pPr>
      <w:tabs>
        <w:tab w:val="center" w:pos="4153"/>
        <w:tab w:val="right" w:pos="8306"/>
      </w:tabs>
      <w:snapToGrid w:val="0"/>
      <w:jc w:val="left"/>
    </w:pPr>
    <w:rPr>
      <w:sz w:val="18"/>
      <w:szCs w:val="18"/>
    </w:rPr>
  </w:style>
  <w:style w:type="paragraph" w:styleId="a8">
    <w:name w:val="header"/>
    <w:basedOn w:val="a"/>
    <w:link w:val="Char3"/>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a">
    <w:name w:val="annotation subject"/>
    <w:basedOn w:val="a3"/>
    <w:next w:val="a3"/>
    <w:link w:val="Char11"/>
    <w:uiPriority w:val="99"/>
    <w:unhideWhenUsed/>
    <w:qFormat/>
    <w:rPr>
      <w:b/>
      <w:bCs/>
      <w:szCs w:val="24"/>
    </w:rPr>
  </w:style>
  <w:style w:type="table" w:styleId="ab">
    <w:name w:val="Table Grid"/>
    <w:basedOn w:val="a1"/>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qFormat/>
  </w:style>
  <w:style w:type="character" w:styleId="ad">
    <w:name w:val="Hyperlink"/>
    <w:basedOn w:val="a0"/>
    <w:uiPriority w:val="99"/>
    <w:unhideWhenUsed/>
    <w:qFormat/>
    <w:rPr>
      <w:color w:val="0000FF" w:themeColor="hyperlink"/>
      <w:u w:val="single"/>
    </w:rPr>
  </w:style>
  <w:style w:type="character" w:styleId="ae">
    <w:name w:val="annotation reference"/>
    <w:uiPriority w:val="99"/>
    <w:unhideWhenUsed/>
    <w:qFormat/>
    <w:rPr>
      <w:sz w:val="21"/>
      <w:szCs w:val="21"/>
    </w:rPr>
  </w:style>
  <w:style w:type="character" w:customStyle="1" w:styleId="Char3">
    <w:name w:val="页眉 Char"/>
    <w:basedOn w:val="a0"/>
    <w:link w:val="a8"/>
    <w:uiPriority w:val="99"/>
    <w:qFormat/>
    <w:rPr>
      <w:sz w:val="18"/>
      <w:szCs w:val="18"/>
    </w:rPr>
  </w:style>
  <w:style w:type="character" w:customStyle="1" w:styleId="Char2">
    <w:name w:val="页脚 Char"/>
    <w:basedOn w:val="a0"/>
    <w:link w:val="a7"/>
    <w:uiPriority w:val="99"/>
    <w:qFormat/>
    <w:rPr>
      <w:sz w:val="18"/>
      <w:szCs w:val="18"/>
    </w:rPr>
  </w:style>
  <w:style w:type="character" w:customStyle="1" w:styleId="Char1">
    <w:name w:val="日期 Char"/>
    <w:basedOn w:val="a0"/>
    <w:link w:val="a5"/>
    <w:qFormat/>
  </w:style>
  <w:style w:type="character" w:customStyle="1" w:styleId="1Char">
    <w:name w:val="标题 1 Char"/>
    <w:basedOn w:val="a0"/>
    <w:uiPriority w:val="9"/>
    <w:qFormat/>
    <w:rPr>
      <w:b/>
      <w:bCs/>
      <w:kern w:val="44"/>
      <w:sz w:val="44"/>
      <w:szCs w:val="44"/>
    </w:rPr>
  </w:style>
  <w:style w:type="character" w:customStyle="1" w:styleId="Char11">
    <w:name w:val="批注主题 Char1"/>
    <w:link w:val="aa"/>
    <w:uiPriority w:val="99"/>
    <w:qFormat/>
    <w:rPr>
      <w:b/>
      <w:bCs/>
      <w:szCs w:val="24"/>
    </w:rPr>
  </w:style>
  <w:style w:type="character" w:customStyle="1" w:styleId="af">
    <w:name w:val="页眉 字符"/>
    <w:qFormat/>
    <w:rPr>
      <w:sz w:val="18"/>
      <w:szCs w:val="18"/>
    </w:rPr>
  </w:style>
  <w:style w:type="character" w:customStyle="1" w:styleId="af0">
    <w:name w:val="页脚 字符"/>
    <w:uiPriority w:val="99"/>
    <w:qFormat/>
    <w:rPr>
      <w:sz w:val="18"/>
      <w:szCs w:val="18"/>
    </w:rPr>
  </w:style>
  <w:style w:type="character" w:customStyle="1" w:styleId="1Char1">
    <w:name w:val="标题 1 Char1"/>
    <w:link w:val="1"/>
    <w:qFormat/>
    <w:rPr>
      <w:rFonts w:ascii="仿宋_GB2312" w:eastAsia="仿宋_GB2312" w:hAnsi="Times New Roman" w:cs="Times New Roman"/>
      <w:kern w:val="0"/>
      <w:sz w:val="28"/>
      <w:szCs w:val="20"/>
    </w:rPr>
  </w:style>
  <w:style w:type="character" w:customStyle="1" w:styleId="Char10">
    <w:name w:val="批注框文本 Char1"/>
    <w:link w:val="a6"/>
    <w:uiPriority w:val="99"/>
    <w:qFormat/>
    <w:rPr>
      <w:sz w:val="18"/>
      <w:szCs w:val="18"/>
    </w:rPr>
  </w:style>
  <w:style w:type="character" w:customStyle="1" w:styleId="af1">
    <w:name w:val="批注文字 字符"/>
    <w:uiPriority w:val="99"/>
    <w:semiHidden/>
    <w:qFormat/>
    <w:rPr>
      <w:kern w:val="2"/>
      <w:sz w:val="21"/>
      <w:szCs w:val="24"/>
    </w:rPr>
  </w:style>
  <w:style w:type="character" w:customStyle="1" w:styleId="font11">
    <w:name w:val="font11"/>
    <w:qFormat/>
    <w:rPr>
      <w:rFonts w:ascii="宋体" w:eastAsia="宋体" w:hAnsi="宋体" w:cs="宋体" w:hint="eastAsia"/>
      <w:b/>
      <w:color w:val="000000"/>
      <w:sz w:val="32"/>
      <w:szCs w:val="32"/>
      <w:u w:val="none"/>
    </w:rPr>
  </w:style>
  <w:style w:type="character" w:customStyle="1" w:styleId="Char">
    <w:name w:val="批注文字 Char"/>
    <w:basedOn w:val="a0"/>
    <w:link w:val="a3"/>
    <w:uiPriority w:val="99"/>
    <w:semiHidden/>
    <w:qFormat/>
  </w:style>
  <w:style w:type="character" w:customStyle="1" w:styleId="Char4">
    <w:name w:val="批注主题 Char"/>
    <w:basedOn w:val="Char"/>
    <w:uiPriority w:val="99"/>
    <w:semiHidden/>
    <w:qFormat/>
    <w:rPr>
      <w:b/>
      <w:bCs/>
    </w:rPr>
  </w:style>
  <w:style w:type="character" w:customStyle="1" w:styleId="Char5">
    <w:name w:val="批注框文本 Char"/>
    <w:basedOn w:val="a0"/>
    <w:uiPriority w:val="99"/>
    <w:semiHidden/>
    <w:qFormat/>
    <w:rPr>
      <w:sz w:val="18"/>
      <w:szCs w:val="18"/>
    </w:rPr>
  </w:style>
  <w:style w:type="paragraph" w:customStyle="1" w:styleId="10">
    <w:name w:val="日期1"/>
    <w:basedOn w:val="a"/>
    <w:next w:val="a"/>
    <w:qFormat/>
    <w:pPr>
      <w:ind w:leftChars="2500" w:left="100"/>
    </w:pPr>
    <w:rPr>
      <w:rFonts w:ascii="Times New Roman" w:eastAsia="宋体" w:hAnsi="Times New Roman" w:cs="Times New Roman"/>
      <w:szCs w:val="24"/>
    </w:rPr>
  </w:style>
  <w:style w:type="character" w:customStyle="1" w:styleId="Char0">
    <w:name w:val="纯文本 Char"/>
    <w:basedOn w:val="a0"/>
    <w:link w:val="a4"/>
    <w:qFormat/>
    <w:rPr>
      <w:rFonts w:ascii="仿宋_GB2312" w:eastAsia="宋体" w:hAnsi="Times New Roman" w:cs="Times New Roman"/>
      <w:sz w:val="24"/>
      <w:szCs w:val="24"/>
    </w:rPr>
  </w:style>
  <w:style w:type="paragraph" w:customStyle="1" w:styleId="Char6">
    <w:name w:val="Char"/>
    <w:basedOn w:val="a"/>
    <w:qFormat/>
    <w:pPr>
      <w:tabs>
        <w:tab w:val="left" w:pos="425"/>
      </w:tabs>
      <w:ind w:left="425" w:hanging="425"/>
    </w:pPr>
    <w:rPr>
      <w:rFonts w:ascii="Times New Roman" w:eastAsia="宋体" w:hAnsi="Times New Roman" w:cs="Times New Roman"/>
      <w:szCs w:val="24"/>
    </w:rPr>
  </w:style>
  <w:style w:type="paragraph" w:customStyle="1" w:styleId="11">
    <w:name w:val="列出段落1"/>
    <w:basedOn w:val="a"/>
    <w:qFormat/>
    <w:pPr>
      <w:ind w:firstLineChars="200" w:firstLine="420"/>
    </w:pPr>
    <w:rPr>
      <w:rFonts w:ascii="Calibri" w:eastAsia="宋体" w:hAnsi="Calibri" w:cs="Times New Roman"/>
    </w:rPr>
  </w:style>
  <w:style w:type="paragraph" w:styleId="af2">
    <w:name w:val="List Paragraph"/>
    <w:basedOn w:val="a"/>
    <w:uiPriority w:val="34"/>
    <w:qFormat/>
    <w:pPr>
      <w:ind w:firstLineChars="200" w:firstLine="420"/>
    </w:pPr>
  </w:style>
  <w:style w:type="paragraph" w:customStyle="1" w:styleId="olistparagraph">
    <w:name w:val="olistparagraph"/>
    <w:basedOn w:val="a"/>
    <w:qFormat/>
    <w:pPr>
      <w:spacing w:before="100" w:beforeAutospacing="1" w:after="100" w:afterAutospacing="1"/>
      <w:jc w:val="left"/>
    </w:pPr>
    <w:rPr>
      <w:rFonts w:ascii="Calibri" w:eastAsia="宋体" w:hAnsi="Calibri" w:cs="Times New Roman"/>
      <w:kern w:val="0"/>
      <w:sz w:val="24"/>
      <w:szCs w:val="24"/>
    </w:rPr>
  </w:style>
  <w:style w:type="paragraph" w:customStyle="1" w:styleId="onormal">
    <w:name w:val="onormal"/>
    <w:basedOn w:val="a"/>
    <w:qFormat/>
    <w:pPr>
      <w:spacing w:before="100" w:beforeAutospacing="1" w:after="100" w:afterAutospacing="1"/>
      <w:jc w:val="left"/>
    </w:pPr>
    <w:rPr>
      <w:rFonts w:ascii="Calibri" w:eastAsia="宋体" w:hAnsi="Calibri" w:cs="Times New Roman"/>
      <w:kern w:val="0"/>
      <w:sz w:val="24"/>
      <w:szCs w:val="24"/>
    </w:rPr>
  </w:style>
  <w:style w:type="character" w:customStyle="1" w:styleId="Char12">
    <w:name w:val="纯文本 Char1"/>
    <w:qFormat/>
    <w:locked/>
    <w:rPr>
      <w:rFonts w:ascii="仿宋_GB2312" w:eastAsia="仿宋_GB2312" w:hAnsi="Calibri" w:hint="eastAsia"/>
      <w:kern w:val="2"/>
      <w:sz w:val="24"/>
      <w:szCs w:val="24"/>
    </w:rPr>
  </w:style>
  <w:style w:type="paragraph" w:customStyle="1" w:styleId="sonormal">
    <w:name w:val="sonormal"/>
    <w:basedOn w:val="a"/>
    <w:qFormat/>
    <w:pPr>
      <w:spacing w:before="100" w:beforeAutospacing="1" w:after="100" w:afterAutospacing="1"/>
      <w:jc w:val="left"/>
    </w:pPr>
    <w:rPr>
      <w:rFonts w:ascii="Calibri" w:eastAsia="宋体" w:hAnsi="Calibri" w:cs="Times New Roma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uiPriority="0" w:qFormat="1"/>
    <w:lsdException w:name="footer" w:semiHidden="0" w:qFormat="1"/>
    <w:lsdException w:name="caption" w:uiPriority="35"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qFormat="1"/>
    <w:lsdException w:name="Normal Table" w:qFormat="1"/>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1"/>
    <w:qFormat/>
    <w:pPr>
      <w:keepNext/>
      <w:jc w:val="center"/>
      <w:outlineLvl w:val="0"/>
    </w:pPr>
    <w:rPr>
      <w:rFonts w:ascii="仿宋_GB2312" w:eastAsia="仿宋_GB2312" w:hAnsi="Times New Roman" w:cs="Times New Roman"/>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style>
  <w:style w:type="paragraph" w:styleId="a4">
    <w:name w:val="Plain Text"/>
    <w:basedOn w:val="a"/>
    <w:link w:val="Char0"/>
    <w:qFormat/>
    <w:pPr>
      <w:spacing w:line="360" w:lineRule="auto"/>
      <w:ind w:firstLineChars="200" w:firstLine="480"/>
    </w:pPr>
    <w:rPr>
      <w:rFonts w:ascii="仿宋_GB2312" w:eastAsia="宋体" w:hAnsi="Times New Roman" w:cs="Times New Roman"/>
      <w:sz w:val="24"/>
      <w:szCs w:val="24"/>
    </w:rPr>
  </w:style>
  <w:style w:type="paragraph" w:styleId="a5">
    <w:name w:val="Date"/>
    <w:basedOn w:val="a"/>
    <w:next w:val="a"/>
    <w:link w:val="Char1"/>
    <w:uiPriority w:val="99"/>
    <w:semiHidden/>
    <w:unhideWhenUsed/>
    <w:qFormat/>
    <w:pPr>
      <w:ind w:leftChars="2500" w:left="100"/>
    </w:pPr>
  </w:style>
  <w:style w:type="paragraph" w:styleId="a6">
    <w:name w:val="Balloon Text"/>
    <w:basedOn w:val="a"/>
    <w:link w:val="Char10"/>
    <w:uiPriority w:val="99"/>
    <w:unhideWhenUsed/>
    <w:qFormat/>
    <w:rPr>
      <w:sz w:val="18"/>
      <w:szCs w:val="18"/>
    </w:rPr>
  </w:style>
  <w:style w:type="paragraph" w:styleId="a7">
    <w:name w:val="footer"/>
    <w:basedOn w:val="a"/>
    <w:link w:val="Char2"/>
    <w:uiPriority w:val="99"/>
    <w:unhideWhenUsed/>
    <w:qFormat/>
    <w:pPr>
      <w:tabs>
        <w:tab w:val="center" w:pos="4153"/>
        <w:tab w:val="right" w:pos="8306"/>
      </w:tabs>
      <w:snapToGrid w:val="0"/>
      <w:jc w:val="left"/>
    </w:pPr>
    <w:rPr>
      <w:sz w:val="18"/>
      <w:szCs w:val="18"/>
    </w:rPr>
  </w:style>
  <w:style w:type="paragraph" w:styleId="a8">
    <w:name w:val="header"/>
    <w:basedOn w:val="a"/>
    <w:link w:val="Char3"/>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a">
    <w:name w:val="annotation subject"/>
    <w:basedOn w:val="a3"/>
    <w:next w:val="a3"/>
    <w:link w:val="Char11"/>
    <w:uiPriority w:val="99"/>
    <w:unhideWhenUsed/>
    <w:qFormat/>
    <w:rPr>
      <w:b/>
      <w:bCs/>
      <w:szCs w:val="24"/>
    </w:rPr>
  </w:style>
  <w:style w:type="table" w:styleId="ab">
    <w:name w:val="Table Grid"/>
    <w:basedOn w:val="a1"/>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qFormat/>
  </w:style>
  <w:style w:type="character" w:styleId="ad">
    <w:name w:val="Hyperlink"/>
    <w:basedOn w:val="a0"/>
    <w:uiPriority w:val="99"/>
    <w:unhideWhenUsed/>
    <w:qFormat/>
    <w:rPr>
      <w:color w:val="0000FF" w:themeColor="hyperlink"/>
      <w:u w:val="single"/>
    </w:rPr>
  </w:style>
  <w:style w:type="character" w:styleId="ae">
    <w:name w:val="annotation reference"/>
    <w:uiPriority w:val="99"/>
    <w:unhideWhenUsed/>
    <w:qFormat/>
    <w:rPr>
      <w:sz w:val="21"/>
      <w:szCs w:val="21"/>
    </w:rPr>
  </w:style>
  <w:style w:type="character" w:customStyle="1" w:styleId="Char3">
    <w:name w:val="页眉 Char"/>
    <w:basedOn w:val="a0"/>
    <w:link w:val="a8"/>
    <w:uiPriority w:val="99"/>
    <w:qFormat/>
    <w:rPr>
      <w:sz w:val="18"/>
      <w:szCs w:val="18"/>
    </w:rPr>
  </w:style>
  <w:style w:type="character" w:customStyle="1" w:styleId="Char2">
    <w:name w:val="页脚 Char"/>
    <w:basedOn w:val="a0"/>
    <w:link w:val="a7"/>
    <w:uiPriority w:val="99"/>
    <w:qFormat/>
    <w:rPr>
      <w:sz w:val="18"/>
      <w:szCs w:val="18"/>
    </w:rPr>
  </w:style>
  <w:style w:type="character" w:customStyle="1" w:styleId="Char1">
    <w:name w:val="日期 Char"/>
    <w:basedOn w:val="a0"/>
    <w:link w:val="a5"/>
    <w:qFormat/>
  </w:style>
  <w:style w:type="character" w:customStyle="1" w:styleId="1Char">
    <w:name w:val="标题 1 Char"/>
    <w:basedOn w:val="a0"/>
    <w:uiPriority w:val="9"/>
    <w:qFormat/>
    <w:rPr>
      <w:b/>
      <w:bCs/>
      <w:kern w:val="44"/>
      <w:sz w:val="44"/>
      <w:szCs w:val="44"/>
    </w:rPr>
  </w:style>
  <w:style w:type="character" w:customStyle="1" w:styleId="Char11">
    <w:name w:val="批注主题 Char1"/>
    <w:link w:val="aa"/>
    <w:uiPriority w:val="99"/>
    <w:qFormat/>
    <w:rPr>
      <w:b/>
      <w:bCs/>
      <w:szCs w:val="24"/>
    </w:rPr>
  </w:style>
  <w:style w:type="character" w:customStyle="1" w:styleId="af">
    <w:name w:val="页眉 字符"/>
    <w:qFormat/>
    <w:rPr>
      <w:sz w:val="18"/>
      <w:szCs w:val="18"/>
    </w:rPr>
  </w:style>
  <w:style w:type="character" w:customStyle="1" w:styleId="af0">
    <w:name w:val="页脚 字符"/>
    <w:uiPriority w:val="99"/>
    <w:qFormat/>
    <w:rPr>
      <w:sz w:val="18"/>
      <w:szCs w:val="18"/>
    </w:rPr>
  </w:style>
  <w:style w:type="character" w:customStyle="1" w:styleId="1Char1">
    <w:name w:val="标题 1 Char1"/>
    <w:link w:val="1"/>
    <w:qFormat/>
    <w:rPr>
      <w:rFonts w:ascii="仿宋_GB2312" w:eastAsia="仿宋_GB2312" w:hAnsi="Times New Roman" w:cs="Times New Roman"/>
      <w:kern w:val="0"/>
      <w:sz w:val="28"/>
      <w:szCs w:val="20"/>
    </w:rPr>
  </w:style>
  <w:style w:type="character" w:customStyle="1" w:styleId="Char10">
    <w:name w:val="批注框文本 Char1"/>
    <w:link w:val="a6"/>
    <w:uiPriority w:val="99"/>
    <w:qFormat/>
    <w:rPr>
      <w:sz w:val="18"/>
      <w:szCs w:val="18"/>
    </w:rPr>
  </w:style>
  <w:style w:type="character" w:customStyle="1" w:styleId="af1">
    <w:name w:val="批注文字 字符"/>
    <w:uiPriority w:val="99"/>
    <w:semiHidden/>
    <w:qFormat/>
    <w:rPr>
      <w:kern w:val="2"/>
      <w:sz w:val="21"/>
      <w:szCs w:val="24"/>
    </w:rPr>
  </w:style>
  <w:style w:type="character" w:customStyle="1" w:styleId="font11">
    <w:name w:val="font11"/>
    <w:qFormat/>
    <w:rPr>
      <w:rFonts w:ascii="宋体" w:eastAsia="宋体" w:hAnsi="宋体" w:cs="宋体" w:hint="eastAsia"/>
      <w:b/>
      <w:color w:val="000000"/>
      <w:sz w:val="32"/>
      <w:szCs w:val="32"/>
      <w:u w:val="none"/>
    </w:rPr>
  </w:style>
  <w:style w:type="character" w:customStyle="1" w:styleId="Char">
    <w:name w:val="批注文字 Char"/>
    <w:basedOn w:val="a0"/>
    <w:link w:val="a3"/>
    <w:uiPriority w:val="99"/>
    <w:semiHidden/>
    <w:qFormat/>
  </w:style>
  <w:style w:type="character" w:customStyle="1" w:styleId="Char4">
    <w:name w:val="批注主题 Char"/>
    <w:basedOn w:val="Char"/>
    <w:uiPriority w:val="99"/>
    <w:semiHidden/>
    <w:qFormat/>
    <w:rPr>
      <w:b/>
      <w:bCs/>
    </w:rPr>
  </w:style>
  <w:style w:type="character" w:customStyle="1" w:styleId="Char5">
    <w:name w:val="批注框文本 Char"/>
    <w:basedOn w:val="a0"/>
    <w:uiPriority w:val="99"/>
    <w:semiHidden/>
    <w:qFormat/>
    <w:rPr>
      <w:sz w:val="18"/>
      <w:szCs w:val="18"/>
    </w:rPr>
  </w:style>
  <w:style w:type="paragraph" w:customStyle="1" w:styleId="10">
    <w:name w:val="日期1"/>
    <w:basedOn w:val="a"/>
    <w:next w:val="a"/>
    <w:qFormat/>
    <w:pPr>
      <w:ind w:leftChars="2500" w:left="100"/>
    </w:pPr>
    <w:rPr>
      <w:rFonts w:ascii="Times New Roman" w:eastAsia="宋体" w:hAnsi="Times New Roman" w:cs="Times New Roman"/>
      <w:szCs w:val="24"/>
    </w:rPr>
  </w:style>
  <w:style w:type="character" w:customStyle="1" w:styleId="Char0">
    <w:name w:val="纯文本 Char"/>
    <w:basedOn w:val="a0"/>
    <w:link w:val="a4"/>
    <w:qFormat/>
    <w:rPr>
      <w:rFonts w:ascii="仿宋_GB2312" w:eastAsia="宋体" w:hAnsi="Times New Roman" w:cs="Times New Roman"/>
      <w:sz w:val="24"/>
      <w:szCs w:val="24"/>
    </w:rPr>
  </w:style>
  <w:style w:type="paragraph" w:customStyle="1" w:styleId="Char6">
    <w:name w:val="Char"/>
    <w:basedOn w:val="a"/>
    <w:qFormat/>
    <w:pPr>
      <w:tabs>
        <w:tab w:val="left" w:pos="425"/>
      </w:tabs>
      <w:ind w:left="425" w:hanging="425"/>
    </w:pPr>
    <w:rPr>
      <w:rFonts w:ascii="Times New Roman" w:eastAsia="宋体" w:hAnsi="Times New Roman" w:cs="Times New Roman"/>
      <w:szCs w:val="24"/>
    </w:rPr>
  </w:style>
  <w:style w:type="paragraph" w:customStyle="1" w:styleId="11">
    <w:name w:val="列出段落1"/>
    <w:basedOn w:val="a"/>
    <w:qFormat/>
    <w:pPr>
      <w:ind w:firstLineChars="200" w:firstLine="420"/>
    </w:pPr>
    <w:rPr>
      <w:rFonts w:ascii="Calibri" w:eastAsia="宋体" w:hAnsi="Calibri" w:cs="Times New Roman"/>
    </w:rPr>
  </w:style>
  <w:style w:type="paragraph" w:styleId="af2">
    <w:name w:val="List Paragraph"/>
    <w:basedOn w:val="a"/>
    <w:uiPriority w:val="34"/>
    <w:qFormat/>
    <w:pPr>
      <w:ind w:firstLineChars="200" w:firstLine="420"/>
    </w:pPr>
  </w:style>
  <w:style w:type="paragraph" w:customStyle="1" w:styleId="olistparagraph">
    <w:name w:val="olistparagraph"/>
    <w:basedOn w:val="a"/>
    <w:qFormat/>
    <w:pPr>
      <w:spacing w:before="100" w:beforeAutospacing="1" w:after="100" w:afterAutospacing="1"/>
      <w:jc w:val="left"/>
    </w:pPr>
    <w:rPr>
      <w:rFonts w:ascii="Calibri" w:eastAsia="宋体" w:hAnsi="Calibri" w:cs="Times New Roman"/>
      <w:kern w:val="0"/>
      <w:sz w:val="24"/>
      <w:szCs w:val="24"/>
    </w:rPr>
  </w:style>
  <w:style w:type="paragraph" w:customStyle="1" w:styleId="onormal">
    <w:name w:val="onormal"/>
    <w:basedOn w:val="a"/>
    <w:qFormat/>
    <w:pPr>
      <w:spacing w:before="100" w:beforeAutospacing="1" w:after="100" w:afterAutospacing="1"/>
      <w:jc w:val="left"/>
    </w:pPr>
    <w:rPr>
      <w:rFonts w:ascii="Calibri" w:eastAsia="宋体" w:hAnsi="Calibri" w:cs="Times New Roman"/>
      <w:kern w:val="0"/>
      <w:sz w:val="24"/>
      <w:szCs w:val="24"/>
    </w:rPr>
  </w:style>
  <w:style w:type="character" w:customStyle="1" w:styleId="Char12">
    <w:name w:val="纯文本 Char1"/>
    <w:qFormat/>
    <w:locked/>
    <w:rPr>
      <w:rFonts w:ascii="仿宋_GB2312" w:eastAsia="仿宋_GB2312" w:hAnsi="Calibri" w:hint="eastAsia"/>
      <w:kern w:val="2"/>
      <w:sz w:val="24"/>
      <w:szCs w:val="24"/>
    </w:rPr>
  </w:style>
  <w:style w:type="paragraph" w:customStyle="1" w:styleId="sonormal">
    <w:name w:val="sonormal"/>
    <w:basedOn w:val="a"/>
    <w:qFormat/>
    <w:pPr>
      <w:spacing w:before="100" w:beforeAutospacing="1" w:after="100" w:afterAutospacing="1"/>
      <w:jc w:val="left"/>
    </w:pPr>
    <w:rPr>
      <w:rFonts w:ascii="Calibri" w:eastAsia="宋体" w:hAnsi="Calibri"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214</Words>
  <Characters>1225</Characters>
  <Application>Microsoft Office Word</Application>
  <DocSecurity>0</DocSecurity>
  <Lines>10</Lines>
  <Paragraphs>2</Paragraphs>
  <ScaleCrop>false</ScaleCrop>
  <Company>hps</Company>
  <LinksUpToDate>false</LinksUpToDate>
  <CharactersWithSpaces>1437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宋莎莎</dc:creator>
  <cp:lastModifiedBy>Administrator</cp:lastModifiedBy>
  <cp:revision>3</cp:revision>
  <cp:lastPrinted>2023-02-16T02:21:00Z</cp:lastPrinted>
  <dcterms:created xsi:type="dcterms:W3CDTF">2024-05-21T06:29:00Z</dcterms:created>
  <dcterms:modified xsi:type="dcterms:W3CDTF">2026-09-11T11:54:00Z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eyJoZGlkIjoiMzU0ZGY0ZGI0NTQ4YjM0NTVlYTYyZDhiNzcyMTZlYmYiLCJ1c2VySWQiOiIyNDI2MzUwOTgifQ==</vt:lpwstr>
  </property>
  <property fmtid="{D5CDD505-2E9C-101B-9397-08002B2CF9AE}" pid="3" name="KSOProductBuildVer">
    <vt:lpwstr>2052-12.1.0.28505</vt:lpwstr>
  </property>
  <property fmtid="{D5CDD505-2E9C-101B-9397-08002B2CF9AE}" pid="4" name="ICV">
    <vt:lpwstr>573FAA350DFA4916A3B80F12BF8704CE_12</vt:lpwstr>
  </property>
</Properties>
</file>