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4AA86">
      <w:pPr>
        <w:pStyle w:val="2"/>
        <w:rPr>
          <w:rFonts w:hint="eastAsia" w:ascii="宋体" w:hAnsi="宋体" w:eastAsia="宋体" w:cs="宋体"/>
          <w:b/>
          <w:bCs/>
          <w:sz w:val="36"/>
          <w:szCs w:val="36"/>
        </w:rPr>
      </w:pPr>
      <w:r>
        <w:rPr>
          <w:rFonts w:hint="eastAsia" w:ascii="Times New Roman" w:eastAsia="宋体"/>
          <w:b/>
          <w:bCs/>
          <w:sz w:val="36"/>
          <w:szCs w:val="36"/>
        </w:rPr>
        <w:t>202</w:t>
      </w:r>
      <w:r>
        <w:rPr>
          <w:rFonts w:hint="eastAsia" w:ascii="Times New Roman" w:eastAsia="宋体"/>
          <w:b/>
          <w:bCs/>
          <w:sz w:val="36"/>
          <w:szCs w:val="36"/>
          <w:lang w:val="en-US" w:eastAsia="zh-CN"/>
        </w:rPr>
        <w:t>6</w:t>
      </w:r>
      <w:r>
        <w:rPr>
          <w:rFonts w:hint="eastAsia" w:ascii="Times New Roman" w:eastAsia="宋体"/>
          <w:b/>
          <w:bCs/>
          <w:sz w:val="36"/>
          <w:szCs w:val="36"/>
        </w:rPr>
        <w:t>年自然资源科学技术奖</w:t>
      </w:r>
      <w:r>
        <w:rPr>
          <w:rFonts w:hint="eastAsia" w:ascii="宋体" w:hAnsi="宋体" w:eastAsia="宋体" w:cs="宋体"/>
          <w:b/>
          <w:bCs/>
          <w:sz w:val="36"/>
          <w:szCs w:val="36"/>
        </w:rPr>
        <w:t>公示表</w:t>
      </w:r>
    </w:p>
    <w:p w14:paraId="329BBD46">
      <w:pPr>
        <w:jc w:val="center"/>
        <w:rPr>
          <w:rFonts w:hint="eastAsia" w:eastAsia="宋体"/>
          <w:sz w:val="36"/>
          <w:szCs w:val="36"/>
          <w:lang w:eastAsia="zh-CN"/>
        </w:rPr>
      </w:pPr>
      <w:r>
        <w:rPr>
          <w:rFonts w:hint="eastAsia" w:ascii="宋体" w:hAnsi="宋体" w:eastAsia="宋体" w:cs="宋体"/>
          <w:b/>
          <w:bCs/>
          <w:sz w:val="36"/>
          <w:szCs w:val="36"/>
          <w:lang w:eastAsia="zh-CN"/>
        </w:rPr>
        <w:t>（青年科技奖）</w:t>
      </w:r>
    </w:p>
    <w:p w14:paraId="4203B428"/>
    <w:p w14:paraId="67C102F0"/>
    <w:tbl>
      <w:tblPr>
        <w:tblStyle w:val="11"/>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2940"/>
        <w:gridCol w:w="945"/>
        <w:gridCol w:w="3335"/>
      </w:tblGrid>
      <w:tr w14:paraId="56A3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244" w:type="dxa"/>
            <w:vAlign w:val="center"/>
          </w:tcPr>
          <w:p w14:paraId="5C5829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仿宋" w:cs="Times New Roman"/>
                <w:b/>
                <w:bCs/>
                <w:lang w:eastAsia="zh-CN"/>
              </w:rPr>
            </w:pPr>
            <w:r>
              <w:rPr>
                <w:rFonts w:hint="default" w:ascii="Times New Roman" w:hAnsi="Times New Roman" w:eastAsia="仿宋" w:cs="Times New Roman"/>
                <w:b/>
                <w:bCs/>
                <w:lang w:eastAsia="zh-CN"/>
              </w:rPr>
              <w:t>被推荐人姓名</w:t>
            </w:r>
          </w:p>
        </w:tc>
        <w:tc>
          <w:tcPr>
            <w:tcW w:w="2940" w:type="dxa"/>
            <w:vAlign w:val="center"/>
          </w:tcPr>
          <w:p w14:paraId="490AD4DF">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 w:cs="Times New Roman"/>
                <w:bCs/>
                <w:lang w:val="en-US" w:eastAsia="zh-CN"/>
              </w:rPr>
            </w:pPr>
            <w:r>
              <w:rPr>
                <w:rFonts w:hint="default" w:ascii="Times New Roman" w:hAnsi="Times New Roman" w:eastAsia="仿宋" w:cs="Times New Roman"/>
                <w:bCs/>
                <w:lang w:val="en-US" w:eastAsia="zh-CN"/>
              </w:rPr>
              <w:t>李伟</w:t>
            </w:r>
          </w:p>
        </w:tc>
        <w:tc>
          <w:tcPr>
            <w:tcW w:w="945" w:type="dxa"/>
            <w:vAlign w:val="center"/>
          </w:tcPr>
          <w:p w14:paraId="66081E58">
            <w:pPr>
              <w:keepNext w:val="0"/>
              <w:keepLines w:val="0"/>
              <w:pageBreakBefore w:val="0"/>
              <w:widowControl w:val="0"/>
              <w:kinsoku/>
              <w:wordWrap/>
              <w:overflowPunct/>
              <w:topLinePunct w:val="0"/>
              <w:autoSpaceDE/>
              <w:autoSpaceDN/>
              <w:bidi w:val="0"/>
              <w:spacing w:line="240" w:lineRule="auto"/>
              <w:jc w:val="center"/>
              <w:textAlignment w:val="center"/>
              <w:rPr>
                <w:rFonts w:hint="default" w:ascii="Times New Roman" w:hAnsi="Times New Roman" w:eastAsia="仿宋" w:cs="Times New Roman"/>
                <w:bCs/>
                <w:lang w:eastAsia="zh-CN"/>
              </w:rPr>
            </w:pPr>
            <w:r>
              <w:rPr>
                <w:rFonts w:hint="default" w:ascii="Times New Roman" w:hAnsi="Times New Roman" w:eastAsia="仿宋" w:cs="Times New Roman"/>
                <w:b/>
                <w:bCs w:val="0"/>
                <w:lang w:eastAsia="zh-CN"/>
              </w:rPr>
              <w:t>性别</w:t>
            </w:r>
          </w:p>
        </w:tc>
        <w:tc>
          <w:tcPr>
            <w:tcW w:w="3335" w:type="dxa"/>
            <w:vAlign w:val="center"/>
          </w:tcPr>
          <w:p w14:paraId="17A66A8C">
            <w:pPr>
              <w:keepNext w:val="0"/>
              <w:keepLines w:val="0"/>
              <w:pageBreakBefore w:val="0"/>
              <w:widowControl w:val="0"/>
              <w:kinsoku/>
              <w:wordWrap/>
              <w:overflowPunct/>
              <w:topLinePunct w:val="0"/>
              <w:autoSpaceDE/>
              <w:autoSpaceDN/>
              <w:bidi w:val="0"/>
              <w:spacing w:line="240" w:lineRule="auto"/>
              <w:jc w:val="center"/>
              <w:textAlignment w:val="center"/>
              <w:rPr>
                <w:rFonts w:hint="default" w:ascii="Times New Roman" w:hAnsi="Times New Roman" w:eastAsia="仿宋" w:cs="Times New Roman"/>
                <w:bCs/>
                <w:lang w:val="en-US" w:eastAsia="zh-CN"/>
              </w:rPr>
            </w:pPr>
            <w:r>
              <w:rPr>
                <w:rFonts w:hint="default" w:ascii="Times New Roman" w:hAnsi="Times New Roman" w:eastAsia="仿宋" w:cs="Times New Roman"/>
                <w:bCs/>
                <w:lang w:val="en-US" w:eastAsia="zh-CN"/>
              </w:rPr>
              <w:t>男</w:t>
            </w:r>
          </w:p>
        </w:tc>
      </w:tr>
      <w:tr w14:paraId="4D9B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2244" w:type="dxa"/>
            <w:vAlign w:val="center"/>
          </w:tcPr>
          <w:p w14:paraId="4EC65C1E">
            <w:pPr>
              <w:keepNext w:val="0"/>
              <w:keepLines w:val="0"/>
              <w:pageBreakBefore w:val="0"/>
              <w:widowControl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b/>
                <w:bCs/>
                <w:lang w:eastAsia="zh-CN"/>
              </w:rPr>
            </w:pPr>
            <w:r>
              <w:rPr>
                <w:rFonts w:hint="default" w:ascii="Times New Roman" w:hAnsi="Times New Roman" w:eastAsia="仿宋" w:cs="Times New Roman"/>
                <w:b/>
                <w:bCs/>
                <w:lang w:eastAsia="zh-CN"/>
              </w:rPr>
              <w:t>出生年月</w:t>
            </w:r>
          </w:p>
        </w:tc>
        <w:tc>
          <w:tcPr>
            <w:tcW w:w="2940" w:type="dxa"/>
            <w:vAlign w:val="center"/>
          </w:tcPr>
          <w:p w14:paraId="4042D9F5">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 w:cs="Times New Roman"/>
                <w:bCs/>
                <w:lang w:val="en-US" w:eastAsia="zh-CN"/>
              </w:rPr>
            </w:pPr>
            <w:r>
              <w:rPr>
                <w:rFonts w:hint="default" w:ascii="Times New Roman" w:hAnsi="Times New Roman" w:eastAsia="仿宋" w:cs="Times New Roman"/>
                <w:bCs/>
                <w:lang w:val="en-US" w:eastAsia="zh-CN"/>
              </w:rPr>
              <w:t>1987-04-17</w:t>
            </w:r>
          </w:p>
        </w:tc>
        <w:tc>
          <w:tcPr>
            <w:tcW w:w="945" w:type="dxa"/>
            <w:vAlign w:val="center"/>
          </w:tcPr>
          <w:p w14:paraId="6E58A1E8">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 w:cs="Times New Roman"/>
                <w:bCs/>
                <w:lang w:eastAsia="zh-CN"/>
              </w:rPr>
            </w:pPr>
            <w:r>
              <w:rPr>
                <w:rFonts w:hint="default" w:ascii="Times New Roman" w:hAnsi="Times New Roman" w:eastAsia="仿宋" w:cs="Times New Roman"/>
                <w:b/>
                <w:bCs w:val="0"/>
                <w:lang w:eastAsia="zh-CN"/>
              </w:rPr>
              <w:t>党派</w:t>
            </w:r>
          </w:p>
        </w:tc>
        <w:tc>
          <w:tcPr>
            <w:tcW w:w="3335" w:type="dxa"/>
            <w:vAlign w:val="center"/>
          </w:tcPr>
          <w:p w14:paraId="50DCDCAF">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 w:cs="Times New Roman"/>
                <w:bCs/>
                <w:lang w:val="en-US" w:eastAsia="zh-CN"/>
              </w:rPr>
            </w:pPr>
            <w:r>
              <w:rPr>
                <w:rFonts w:hint="default" w:ascii="Times New Roman" w:hAnsi="Times New Roman" w:eastAsia="仿宋" w:cs="Times New Roman"/>
                <w:bCs/>
                <w:lang w:val="en-US" w:eastAsia="zh-CN"/>
              </w:rPr>
              <w:t>中共党员</w:t>
            </w:r>
          </w:p>
        </w:tc>
      </w:tr>
      <w:tr w14:paraId="38E3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2244" w:type="dxa"/>
            <w:vAlign w:val="center"/>
          </w:tcPr>
          <w:p w14:paraId="4DFF8ACA">
            <w:pPr>
              <w:keepNext w:val="0"/>
              <w:keepLines w:val="0"/>
              <w:pageBreakBefore w:val="0"/>
              <w:widowControl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b/>
                <w:bCs/>
                <w:lang w:eastAsia="zh-CN"/>
              </w:rPr>
            </w:pPr>
            <w:r>
              <w:rPr>
                <w:rFonts w:hint="default" w:ascii="Times New Roman" w:hAnsi="Times New Roman" w:eastAsia="仿宋" w:cs="Times New Roman"/>
                <w:b/>
                <w:bCs/>
                <w:lang w:eastAsia="zh-CN"/>
              </w:rPr>
              <w:t>单位及职务</w:t>
            </w:r>
          </w:p>
        </w:tc>
        <w:tc>
          <w:tcPr>
            <w:tcW w:w="7220" w:type="dxa"/>
            <w:gridSpan w:val="3"/>
            <w:vAlign w:val="center"/>
          </w:tcPr>
          <w:p w14:paraId="308BDE96">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 w:cs="Times New Roman"/>
                <w:bCs/>
                <w:lang w:val="en-US" w:eastAsia="zh-CN"/>
              </w:rPr>
            </w:pPr>
            <w:r>
              <w:rPr>
                <w:rFonts w:hint="eastAsia" w:ascii="Times New Roman" w:hAnsi="Times New Roman" w:eastAsia="仿宋" w:cs="Times New Roman"/>
                <w:bCs/>
                <w:lang w:val="en-US" w:eastAsia="zh-CN"/>
              </w:rPr>
              <w:t>中国科学院南海海洋研究所、其他</w:t>
            </w:r>
          </w:p>
        </w:tc>
      </w:tr>
      <w:tr w14:paraId="4F8C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2244" w:type="dxa"/>
            <w:vAlign w:val="center"/>
          </w:tcPr>
          <w:p w14:paraId="0E516FDB">
            <w:pPr>
              <w:keepNext w:val="0"/>
              <w:keepLines w:val="0"/>
              <w:pageBreakBefore w:val="0"/>
              <w:widowControl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b/>
                <w:bCs/>
                <w:lang w:eastAsia="zh-CN"/>
              </w:rPr>
            </w:pPr>
            <w:r>
              <w:rPr>
                <w:rFonts w:hint="default" w:ascii="Times New Roman" w:hAnsi="Times New Roman" w:eastAsia="仿宋" w:cs="Times New Roman"/>
                <w:b/>
                <w:bCs/>
                <w:lang w:eastAsia="zh-CN"/>
              </w:rPr>
              <w:t>专业、专长</w:t>
            </w:r>
          </w:p>
        </w:tc>
        <w:tc>
          <w:tcPr>
            <w:tcW w:w="7220" w:type="dxa"/>
            <w:gridSpan w:val="3"/>
            <w:vAlign w:val="center"/>
          </w:tcPr>
          <w:p w14:paraId="76A93506">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 w:cs="Times New Roman"/>
                <w:bCs/>
                <w:lang w:val="en-US" w:eastAsia="zh-CN"/>
              </w:rPr>
            </w:pPr>
            <w:r>
              <w:rPr>
                <w:rFonts w:hint="eastAsia" w:ascii="Times New Roman" w:hAnsi="Times New Roman" w:eastAsia="仿宋" w:cs="Times New Roman"/>
                <w:bCs/>
                <w:lang w:val="en-US" w:eastAsia="zh-CN"/>
              </w:rPr>
              <w:t>海洋地质与地球物理、海底地质灾害</w:t>
            </w:r>
          </w:p>
        </w:tc>
      </w:tr>
      <w:tr w14:paraId="37E4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244" w:type="dxa"/>
            <w:vAlign w:val="center"/>
          </w:tcPr>
          <w:p w14:paraId="13C79267">
            <w:pPr>
              <w:keepNext w:val="0"/>
              <w:keepLines w:val="0"/>
              <w:pageBreakBefore w:val="0"/>
              <w:widowControl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b/>
                <w:bCs/>
                <w:lang w:eastAsia="zh-CN"/>
              </w:rPr>
            </w:pPr>
            <w:r>
              <w:rPr>
                <w:rFonts w:hint="default" w:ascii="Times New Roman" w:hAnsi="Times New Roman" w:eastAsia="仿宋" w:cs="Times New Roman"/>
                <w:b/>
                <w:bCs/>
                <w:lang w:eastAsia="zh-CN"/>
              </w:rPr>
              <w:t>技术职称</w:t>
            </w:r>
          </w:p>
        </w:tc>
        <w:tc>
          <w:tcPr>
            <w:tcW w:w="7220" w:type="dxa"/>
            <w:gridSpan w:val="3"/>
            <w:vAlign w:val="center"/>
          </w:tcPr>
          <w:p w14:paraId="3792FA6F">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 w:cs="Times New Roman"/>
                <w:bCs/>
                <w:lang w:val="en-US" w:eastAsia="zh-CN"/>
              </w:rPr>
            </w:pPr>
            <w:r>
              <w:rPr>
                <w:rFonts w:hint="eastAsia" w:ascii="Times New Roman" w:hAnsi="Times New Roman" w:eastAsia="仿宋" w:cs="Times New Roman"/>
                <w:bCs/>
                <w:lang w:val="en-US" w:eastAsia="zh-CN"/>
              </w:rPr>
              <w:t>研究员（三级）</w:t>
            </w:r>
          </w:p>
        </w:tc>
      </w:tr>
      <w:tr w14:paraId="31C2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44" w:type="dxa"/>
            <w:vAlign w:val="center"/>
          </w:tcPr>
          <w:p w14:paraId="116E565F">
            <w:pPr>
              <w:keepNext w:val="0"/>
              <w:keepLines w:val="0"/>
              <w:pageBreakBefore w:val="0"/>
              <w:widowControl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b/>
                <w:bCs/>
                <w:lang w:eastAsia="zh-CN"/>
              </w:rPr>
            </w:pPr>
            <w:r>
              <w:rPr>
                <w:rFonts w:hint="default" w:ascii="Times New Roman" w:hAnsi="Times New Roman" w:eastAsia="仿宋" w:cs="Times New Roman"/>
                <w:b/>
                <w:bCs/>
                <w:lang w:eastAsia="zh-CN"/>
              </w:rPr>
              <w:t>文化程度及最高学位</w:t>
            </w:r>
          </w:p>
        </w:tc>
        <w:tc>
          <w:tcPr>
            <w:tcW w:w="7220" w:type="dxa"/>
            <w:gridSpan w:val="3"/>
            <w:vAlign w:val="center"/>
          </w:tcPr>
          <w:p w14:paraId="637E9580">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 w:cs="Times New Roman"/>
                <w:bCs/>
                <w:lang w:val="en-US" w:eastAsia="zh-CN"/>
              </w:rPr>
            </w:pPr>
            <w:r>
              <w:rPr>
                <w:rFonts w:hint="eastAsia" w:ascii="Times New Roman" w:hAnsi="Times New Roman" w:eastAsia="仿宋" w:cs="Times New Roman"/>
                <w:bCs/>
                <w:lang w:val="en-US" w:eastAsia="zh-CN"/>
              </w:rPr>
              <w:t>研究生，博士</w:t>
            </w:r>
          </w:p>
        </w:tc>
      </w:tr>
      <w:tr w14:paraId="71CC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44" w:type="dxa"/>
            <w:vAlign w:val="center"/>
          </w:tcPr>
          <w:p w14:paraId="326D0F45">
            <w:pPr>
              <w:keepNext w:val="0"/>
              <w:keepLines w:val="0"/>
              <w:pageBreakBefore w:val="0"/>
              <w:widowControl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b/>
                <w:bCs/>
              </w:rPr>
            </w:pPr>
            <w:r>
              <w:rPr>
                <w:rFonts w:hint="default" w:ascii="Times New Roman" w:hAnsi="Times New Roman" w:eastAsia="仿宋" w:cs="Times New Roman"/>
                <w:b/>
                <w:bCs/>
              </w:rPr>
              <w:t>申报奖项</w:t>
            </w:r>
          </w:p>
        </w:tc>
        <w:tc>
          <w:tcPr>
            <w:tcW w:w="7220" w:type="dxa"/>
            <w:gridSpan w:val="3"/>
            <w:vAlign w:val="center"/>
          </w:tcPr>
          <w:p w14:paraId="37D2D1AC">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 w:cs="Times New Roman"/>
                <w:bCs/>
                <w:lang w:val="en-US" w:eastAsia="zh-CN"/>
              </w:rPr>
            </w:pPr>
            <w:r>
              <w:rPr>
                <w:rFonts w:hint="eastAsia" w:ascii="Times New Roman" w:hAnsi="Times New Roman" w:eastAsia="仿宋" w:cs="Times New Roman"/>
                <w:bCs/>
                <w:lang w:val="en-US" w:eastAsia="zh-CN"/>
              </w:rPr>
              <w:t>自然资源科学技术奖（青年科技奖）</w:t>
            </w:r>
          </w:p>
        </w:tc>
      </w:tr>
      <w:tr w14:paraId="4939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244" w:type="dxa"/>
            <w:vAlign w:val="center"/>
          </w:tcPr>
          <w:p w14:paraId="3AE4F429">
            <w:pPr>
              <w:keepNext w:val="0"/>
              <w:keepLines w:val="0"/>
              <w:pageBreakBefore w:val="0"/>
              <w:widowControl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b/>
                <w:bCs/>
              </w:rPr>
            </w:pPr>
            <w:r>
              <w:rPr>
                <w:rFonts w:hint="default" w:ascii="Times New Roman" w:hAnsi="Times New Roman" w:eastAsia="仿宋" w:cs="Times New Roman"/>
                <w:b/>
                <w:bCs/>
                <w:lang w:eastAsia="zh-CN"/>
              </w:rPr>
              <w:t>代表性成果</w:t>
            </w:r>
            <w:r>
              <w:rPr>
                <w:rFonts w:hint="default" w:ascii="Times New Roman" w:hAnsi="Times New Roman" w:eastAsia="仿宋" w:cs="Times New Roman"/>
                <w:b/>
                <w:bCs/>
              </w:rPr>
              <w:t>名称</w:t>
            </w:r>
          </w:p>
        </w:tc>
        <w:tc>
          <w:tcPr>
            <w:tcW w:w="7220" w:type="dxa"/>
            <w:gridSpan w:val="3"/>
            <w:vAlign w:val="center"/>
          </w:tcPr>
          <w:p w14:paraId="6BA37B1C">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 w:cs="Times New Roman"/>
                <w:bCs/>
                <w:lang w:val="en-US" w:eastAsia="zh-CN"/>
              </w:rPr>
            </w:pPr>
            <w:r>
              <w:rPr>
                <w:rFonts w:hint="default" w:ascii="Times New Roman" w:hAnsi="Times New Roman" w:eastAsia="仿宋" w:cs="Times New Roman"/>
                <w:bCs/>
                <w:lang w:val="en-US" w:eastAsia="zh-CN"/>
              </w:rPr>
              <w:t>海底地层失稳的灾变机制及地貌响应</w:t>
            </w:r>
          </w:p>
        </w:tc>
      </w:tr>
      <w:tr w14:paraId="55AC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2244" w:type="dxa"/>
            <w:vAlign w:val="center"/>
          </w:tcPr>
          <w:p w14:paraId="2D17B260">
            <w:pPr>
              <w:keepNext w:val="0"/>
              <w:keepLines w:val="0"/>
              <w:pageBreakBefore w:val="0"/>
              <w:widowControl w:val="0"/>
              <w:kinsoku/>
              <w:wordWrap/>
              <w:overflowPunct/>
              <w:topLinePunct w:val="0"/>
              <w:autoSpaceDE/>
              <w:autoSpaceDN/>
              <w:bidi w:val="0"/>
              <w:snapToGrid w:val="0"/>
              <w:jc w:val="center"/>
              <w:textAlignment w:val="center"/>
              <w:rPr>
                <w:rFonts w:hint="default" w:ascii="Times New Roman" w:hAnsi="Times New Roman" w:eastAsia="仿宋" w:cs="Times New Roman"/>
              </w:rPr>
            </w:pPr>
            <w:r>
              <w:rPr>
                <w:rFonts w:hint="default" w:ascii="Times New Roman" w:hAnsi="Times New Roman" w:eastAsia="仿宋" w:cs="Times New Roman"/>
                <w:b/>
                <w:bCs/>
              </w:rPr>
              <w:t>主要完成单位</w:t>
            </w:r>
          </w:p>
        </w:tc>
        <w:tc>
          <w:tcPr>
            <w:tcW w:w="7220" w:type="dxa"/>
            <w:gridSpan w:val="3"/>
            <w:vAlign w:val="center"/>
          </w:tcPr>
          <w:p w14:paraId="7D272F99">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 w:cs="Times New Roman"/>
                <w:bCs/>
                <w:lang w:val="en-US" w:eastAsia="zh-CN"/>
              </w:rPr>
            </w:pPr>
            <w:r>
              <w:rPr>
                <w:rFonts w:hint="default" w:ascii="Times New Roman" w:hAnsi="Times New Roman" w:eastAsia="仿宋" w:cs="Times New Roman"/>
                <w:bCs/>
                <w:lang w:val="en-US" w:eastAsia="zh-CN"/>
              </w:rPr>
              <w:t>中国科学院南海海洋研究所</w:t>
            </w:r>
          </w:p>
        </w:tc>
      </w:tr>
      <w:tr w14:paraId="0429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244" w:type="dxa"/>
            <w:vAlign w:val="center"/>
          </w:tcPr>
          <w:p w14:paraId="3E87D355">
            <w:pPr>
              <w:keepNext w:val="0"/>
              <w:keepLines w:val="0"/>
              <w:pageBreakBefore w:val="0"/>
              <w:widowControl w:val="0"/>
              <w:kinsoku/>
              <w:wordWrap/>
              <w:overflowPunct/>
              <w:topLinePunct w:val="0"/>
              <w:autoSpaceDE/>
              <w:autoSpaceDN/>
              <w:bidi w:val="0"/>
              <w:snapToGrid w:val="0"/>
              <w:jc w:val="center"/>
              <w:textAlignment w:val="center"/>
              <w:rPr>
                <w:rFonts w:hint="default" w:ascii="Times New Roman" w:hAnsi="Times New Roman" w:eastAsia="仿宋" w:cs="Times New Roman"/>
                <w:b/>
                <w:bCs/>
              </w:rPr>
            </w:pPr>
            <w:r>
              <w:rPr>
                <w:rFonts w:hint="default" w:ascii="Times New Roman" w:hAnsi="Times New Roman" w:eastAsia="仿宋" w:cs="Times New Roman"/>
                <w:b/>
                <w:bCs/>
              </w:rPr>
              <w:t>主要完成人</w:t>
            </w:r>
          </w:p>
        </w:tc>
        <w:tc>
          <w:tcPr>
            <w:tcW w:w="7220" w:type="dxa"/>
            <w:gridSpan w:val="3"/>
            <w:vAlign w:val="center"/>
          </w:tcPr>
          <w:p w14:paraId="79406841">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 w:cs="Times New Roman"/>
                <w:bCs/>
                <w:lang w:val="en-US" w:eastAsia="zh-CN"/>
              </w:rPr>
            </w:pPr>
            <w:r>
              <w:rPr>
                <w:rFonts w:hint="default" w:ascii="Times New Roman" w:hAnsi="Times New Roman" w:eastAsia="仿宋" w:cs="Times New Roman"/>
                <w:bCs/>
                <w:lang w:val="en-US" w:eastAsia="zh-CN"/>
              </w:rPr>
              <w:t>李伟</w:t>
            </w:r>
          </w:p>
        </w:tc>
      </w:tr>
      <w:tr w14:paraId="6811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244" w:type="dxa"/>
            <w:vAlign w:val="center"/>
          </w:tcPr>
          <w:p w14:paraId="0218F1EC">
            <w:pPr>
              <w:snapToGrid w:val="0"/>
              <w:jc w:val="center"/>
              <w:rPr>
                <w:rFonts w:hint="default" w:ascii="Times New Roman" w:hAnsi="Times New Roman" w:eastAsia="仿宋" w:cs="Times New Roman"/>
                <w:b/>
                <w:bCs/>
              </w:rPr>
            </w:pPr>
            <w:r>
              <w:rPr>
                <w:rFonts w:hint="default" w:ascii="Times New Roman" w:hAnsi="Times New Roman" w:eastAsia="仿宋" w:cs="Times New Roman"/>
                <w:b/>
                <w:bCs/>
              </w:rPr>
              <w:t>推荐意见</w:t>
            </w:r>
          </w:p>
        </w:tc>
        <w:tc>
          <w:tcPr>
            <w:tcW w:w="7220" w:type="dxa"/>
            <w:gridSpan w:val="3"/>
            <w:vAlign w:val="center"/>
          </w:tcPr>
          <w:p w14:paraId="60FDA6CF">
            <w:pPr>
              <w:spacing w:line="400" w:lineRule="exact"/>
              <w:ind w:firstLine="420" w:firstLineChars="200"/>
              <w:rPr>
                <w:rFonts w:hint="default" w:ascii="Times New Roman" w:hAnsi="Times New Roman" w:cs="Times New Roman"/>
                <w:szCs w:val="21"/>
              </w:rPr>
            </w:pPr>
            <w:r>
              <w:rPr>
                <w:rFonts w:hint="default" w:ascii="Times New Roman" w:hAnsi="Times New Roman" w:eastAsia="宋体" w:cs="Times New Roman"/>
                <w:szCs w:val="21"/>
                <w:lang w:val="en-US"/>
              </w:rPr>
              <w:t>被推荐人是中国科学院南海海洋研究所从德国基尔大学引进回国的优秀青年学者，近年来致力于海底失稳及其致灾机理的前沿基础科学研究，服务于我国海洋强国和能源安全开发战略，为我国在南海油气等资源勘探和开采中准确评估和规避海底地质灾害风险提供了关键科技支撑。主要创新成果与科学贡献包括</w:t>
            </w:r>
            <w:r>
              <w:rPr>
                <w:rFonts w:hint="default" w:ascii="Times New Roman" w:hAnsi="Times New Roman" w:cs="Times New Roman"/>
                <w:szCs w:val="21"/>
                <w:lang w:val="en-US" w:eastAsia="zh-CN"/>
              </w:rPr>
              <w:t>：</w:t>
            </w:r>
            <w:r>
              <w:rPr>
                <w:rFonts w:hint="default" w:ascii="Times New Roman" w:hAnsi="Times New Roman" w:eastAsia="宋体" w:cs="Times New Roman"/>
                <w:szCs w:val="21"/>
                <w:lang w:val="en-US"/>
              </w:rPr>
              <w:t>1</w:t>
            </w:r>
            <w:r>
              <w:rPr>
                <w:rFonts w:hint="default" w:ascii="Times New Roman" w:hAnsi="Times New Roman" w:cs="Times New Roman"/>
                <w:szCs w:val="21"/>
                <w:lang w:val="en-US" w:eastAsia="zh-CN"/>
              </w:rPr>
              <w:t>）</w:t>
            </w:r>
            <w:r>
              <w:rPr>
                <w:rFonts w:hint="default" w:ascii="Times New Roman" w:hAnsi="Times New Roman" w:eastAsia="宋体" w:cs="Times New Roman"/>
                <w:szCs w:val="21"/>
                <w:lang w:val="en-US"/>
              </w:rPr>
              <w:t>明确了地质薄弱层对低角度海底滑坡的控制作用，建立了多期海底滑坡形成的新模式</w:t>
            </w:r>
            <w:r>
              <w:rPr>
                <w:rFonts w:hint="default" w:ascii="Times New Roman" w:hAnsi="Times New Roman" w:cs="Times New Roman"/>
                <w:szCs w:val="21"/>
                <w:lang w:val="en-US" w:eastAsia="zh-CN"/>
              </w:rPr>
              <w:t>；</w:t>
            </w:r>
            <w:r>
              <w:rPr>
                <w:rFonts w:hint="default" w:ascii="Times New Roman" w:hAnsi="Times New Roman" w:eastAsia="宋体" w:cs="Times New Roman"/>
                <w:szCs w:val="21"/>
                <w:lang w:val="en-US"/>
              </w:rPr>
              <w:t>2</w:t>
            </w:r>
            <w:r>
              <w:rPr>
                <w:rFonts w:hint="default" w:ascii="Times New Roman" w:hAnsi="Times New Roman" w:cs="Times New Roman"/>
                <w:szCs w:val="21"/>
                <w:lang w:val="en-US" w:eastAsia="zh-CN"/>
              </w:rPr>
              <w:t>）</w:t>
            </w:r>
            <w:r>
              <w:rPr>
                <w:rFonts w:hint="default" w:ascii="Times New Roman" w:hAnsi="Times New Roman" w:eastAsia="宋体" w:cs="Times New Roman"/>
                <w:szCs w:val="21"/>
                <w:lang w:val="en-US"/>
              </w:rPr>
              <w:t>揭示了慢速海底失稳(蠕变)的形成与灾变机理，提出了海底大范围连续变形的新机制</w:t>
            </w:r>
            <w:r>
              <w:rPr>
                <w:rFonts w:hint="default" w:ascii="Times New Roman" w:hAnsi="Times New Roman" w:cs="Times New Roman"/>
                <w:szCs w:val="21"/>
                <w:lang w:val="en-US" w:eastAsia="zh-CN"/>
              </w:rPr>
              <w:t>；</w:t>
            </w:r>
            <w:r>
              <w:rPr>
                <w:rFonts w:hint="default" w:ascii="Times New Roman" w:hAnsi="Times New Roman" w:eastAsia="宋体" w:cs="Times New Roman"/>
                <w:szCs w:val="21"/>
                <w:lang w:val="en-US"/>
              </w:rPr>
              <w:t>3</w:t>
            </w:r>
            <w:r>
              <w:rPr>
                <w:rFonts w:hint="default" w:ascii="Times New Roman" w:hAnsi="Times New Roman" w:cs="Times New Roman"/>
                <w:szCs w:val="21"/>
                <w:lang w:val="en-US" w:eastAsia="zh-CN"/>
              </w:rPr>
              <w:t>）</w:t>
            </w:r>
            <w:r>
              <w:rPr>
                <w:rFonts w:hint="default" w:ascii="Times New Roman" w:hAnsi="Times New Roman" w:eastAsia="宋体" w:cs="Times New Roman"/>
                <w:szCs w:val="21"/>
                <w:lang w:val="en-US"/>
              </w:rPr>
              <w:t>阐明了海底失稳与海底峡谷演化之间的相互作用，引导了海底地质灾害防治的新方向。这些成果不仅丰富了海底失稳灾变机制的基础理论，推动了海底地质灾害形成与防治理论体系的完善和学科发展，而且解决了南海北部深水油气开采中海底地质灾害动态风险评估的难题，显著降低了深水钻井作业的事故率和非生产作业时间，有效提升了我国在南海油气资源开发中的经济效益，展现出了其出色的学术能力与社会贡献。申请人已主持广东省自然科学基金杰出青年项目和国家重点研发计划课题等科研</w:t>
            </w:r>
            <w:r>
              <w:rPr>
                <w:rFonts w:hint="default" w:ascii="Times New Roman" w:hAnsi="Times New Roman" w:cs="Times New Roman"/>
                <w:szCs w:val="21"/>
                <w:lang w:val="en-US" w:eastAsia="zh-CN"/>
              </w:rPr>
              <w:t>项目</w:t>
            </w:r>
            <w:r>
              <w:rPr>
                <w:rFonts w:hint="default" w:ascii="Times New Roman" w:hAnsi="Times New Roman" w:eastAsia="宋体" w:cs="Times New Roman"/>
                <w:szCs w:val="21"/>
                <w:lang w:val="en-US"/>
              </w:rPr>
              <w:t>10余项，以第一通讯作者发表高水平SCI论文30余篇，授件专利和登记软件著作权10余项，并获得了</w:t>
            </w:r>
            <w:r>
              <w:rPr>
                <w:rFonts w:hint="eastAsia" w:ascii="Times New Roman" w:hAnsi="Times New Roman" w:cs="Times New Roman"/>
                <w:szCs w:val="21"/>
                <w:lang w:val="en-US" w:eastAsia="zh-CN"/>
              </w:rPr>
              <w:t>“</w:t>
            </w:r>
            <w:r>
              <w:rPr>
                <w:rFonts w:hint="default" w:ascii="Times New Roman" w:hAnsi="Times New Roman" w:eastAsia="宋体" w:cs="Times New Roman"/>
                <w:szCs w:val="21"/>
                <w:lang w:val="en-US"/>
              </w:rPr>
              <w:t>海南省自然科学一等奖</w:t>
            </w:r>
            <w:r>
              <w:rPr>
                <w:rFonts w:hint="eastAsia" w:ascii="Times New Roman" w:hAnsi="Times New Roman" w:cs="Times New Roman"/>
                <w:szCs w:val="21"/>
                <w:lang w:val="en-US" w:eastAsia="zh-CN"/>
              </w:rPr>
              <w:t>”</w:t>
            </w:r>
            <w:r>
              <w:rPr>
                <w:rFonts w:hint="default" w:ascii="Times New Roman" w:hAnsi="Times New Roman" w:eastAsia="宋体" w:cs="Times New Roman"/>
                <w:szCs w:val="21"/>
                <w:lang w:val="en-US"/>
              </w:rPr>
              <w:t>、</w:t>
            </w:r>
            <w:r>
              <w:rPr>
                <w:rFonts w:hint="eastAsia" w:ascii="Times New Roman" w:hAnsi="Times New Roman" w:cs="Times New Roman"/>
                <w:szCs w:val="21"/>
                <w:lang w:val="en-US" w:eastAsia="zh-CN"/>
              </w:rPr>
              <w:t>“</w:t>
            </w:r>
            <w:r>
              <w:rPr>
                <w:rFonts w:hint="default" w:ascii="Times New Roman" w:hAnsi="Times New Roman" w:eastAsia="宋体" w:cs="Times New Roman"/>
                <w:szCs w:val="21"/>
                <w:lang w:val="en-US"/>
              </w:rPr>
              <w:t>刘光鼎地球物理青年科学技术奖</w:t>
            </w:r>
            <w:r>
              <w:rPr>
                <w:rFonts w:hint="eastAsia" w:ascii="Times New Roman" w:hAnsi="Times New Roman" w:cs="Times New Roman"/>
                <w:szCs w:val="21"/>
                <w:lang w:val="en-US" w:eastAsia="zh-CN"/>
              </w:rPr>
              <w:t>”</w:t>
            </w:r>
            <w:r>
              <w:rPr>
                <w:rFonts w:hint="default" w:ascii="Times New Roman" w:hAnsi="Times New Roman" w:eastAsia="宋体" w:cs="Times New Roman"/>
                <w:szCs w:val="21"/>
                <w:lang w:val="en-US"/>
              </w:rPr>
              <w:t>等奖项。特推荐李伟同志申报本年度自然资源科学技术奖(青年科技奖)。</w:t>
            </w:r>
          </w:p>
        </w:tc>
      </w:tr>
      <w:tr w14:paraId="69F5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6" w:hRule="atLeast"/>
          <w:jc w:val="center"/>
        </w:trPr>
        <w:tc>
          <w:tcPr>
            <w:tcW w:w="2244" w:type="dxa"/>
            <w:vAlign w:val="center"/>
          </w:tcPr>
          <w:p w14:paraId="79B28928">
            <w:pPr>
              <w:snapToGrid w:val="0"/>
              <w:jc w:val="center"/>
              <w:rPr>
                <w:rFonts w:hint="default" w:ascii="Times New Roman" w:hAnsi="Times New Roman" w:eastAsia="仿宋" w:cs="Times New Roman"/>
                <w:b/>
                <w:bCs/>
              </w:rPr>
            </w:pPr>
            <w:r>
              <w:rPr>
                <w:rFonts w:hint="default" w:ascii="Times New Roman" w:hAnsi="Times New Roman" w:eastAsia="仿宋" w:cs="Times New Roman"/>
                <w:b/>
                <w:bCs/>
              </w:rPr>
              <w:t>成果简介</w:t>
            </w:r>
          </w:p>
        </w:tc>
        <w:tc>
          <w:tcPr>
            <w:tcW w:w="7220" w:type="dxa"/>
            <w:gridSpan w:val="3"/>
            <w:vAlign w:val="center"/>
          </w:tcPr>
          <w:p w14:paraId="6F29C347">
            <w:pPr>
              <w:spacing w:line="400" w:lineRule="exact"/>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(一)立项背景与研究目标</w:t>
            </w:r>
          </w:p>
          <w:p w14:paraId="02EC2F0F">
            <w:pPr>
              <w:spacing w:line="400" w:lineRule="exact"/>
              <w:ind w:firstLine="420" w:firstLineChars="200"/>
              <w:rPr>
                <w:rFonts w:hint="default" w:ascii="Times New Roman" w:hAnsi="Times New Roman" w:eastAsia="宋体" w:cs="Times New Roman"/>
                <w:szCs w:val="21"/>
                <w:lang w:val="en-US"/>
              </w:rPr>
            </w:pPr>
            <w:r>
              <w:rPr>
                <w:rFonts w:hint="default" w:ascii="Times New Roman" w:hAnsi="Times New Roman" w:eastAsia="宋体" w:cs="Times New Roman"/>
                <w:szCs w:val="21"/>
                <w:lang w:val="en-US" w:eastAsia="zh-CN"/>
              </w:rPr>
              <w:t>海底失稳是最频发且破坏力极强的海底地质灾害，严重威胁着海洋工程设施的安全运维和海洋资源的开发利用。随着海洋资源开发向深海进军，我国在开发海洋的同时愈加重视对海底失稳的科学防治；同时，南海岛礁作为我国重要的蓝色国土，也长期面临着海底失稳带来的潜在安全威胁。因此，亟需开展海底失稳及其致灾机理的前沿基础科学研究，阐明海底蠕变、滑坡等典型海底失稳的成因机制、灾害风险及其与峡谷等不同海底地貌演化之间的相互关联，建立识别海底不稳定性特征的重要地貌标志，为海底和岛礁工程建设的地质灾害风险评估计与安全控制提供重要科技支撑。</w:t>
            </w:r>
          </w:p>
          <w:p w14:paraId="59385B5B">
            <w:pPr>
              <w:spacing w:line="400" w:lineRule="exact"/>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(二)主要创新成果</w:t>
            </w:r>
          </w:p>
          <w:p w14:paraId="3B28A473">
            <w:pPr>
              <w:spacing w:line="400" w:lineRule="exact"/>
              <w:ind w:firstLine="422" w:firstLineChars="200"/>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1)揭示了慢速海底失稳（蠕变）的形成与灾变机理，提出了海底大范围连续变形的新机制</w:t>
            </w:r>
          </w:p>
          <w:p w14:paraId="37FFD171">
            <w:pPr>
              <w:spacing w:line="40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海底蠕变是海底失稳的早期表现形式，但由于海底蠕变现象难以在地质记录中完整保存，其地层形变与慢速失稳的形成机理与灾害效应仍未得到有效揭示。申请人通过对南海北部蠕变地形的深入研究，揭示了海底蠕变的成因机制及控制因素，证实了海底蠕变是海底浅地层失稳的前奏和指示，指出了处于蠕变状态的海底浅地层孕灾风险显著高于传统认知，为准确评估海底蠕变的灾害效应提供了关键科学依据。</w:t>
            </w:r>
          </w:p>
          <w:p w14:paraId="69A6F75D">
            <w:pPr>
              <w:spacing w:line="400" w:lineRule="exact"/>
              <w:ind w:firstLine="422" w:firstLineChars="200"/>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2)明确了地质薄弱层对低角度海底滑坡的控制作用，建立了多期海底滑坡形成的新模式</w:t>
            </w:r>
          </w:p>
          <w:p w14:paraId="258E6DFB">
            <w:pPr>
              <w:spacing w:line="40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大型低角度海底滑坡主控因素及形成机制尚不明确，一定程度限制了对其发育模式及灾害风险的科学认知。申请人通过对比研究全球多个大陆边缘的大型低角度海底滑坡，发现了大型低角度海底滑坡的发生主要受控于不同深度的地质薄弱层，并提出了海底裂缝是研判现今海底是否稳定的重要地貌标志，以此建立了多期海底滑坡形成的新模式，为更好地理解海底滑坡的形成模式和评估海底滑坡造成的深水地质灾害风险提供了新方法与新思路。</w:t>
            </w:r>
          </w:p>
          <w:p w14:paraId="2F1B95AF">
            <w:pPr>
              <w:spacing w:line="400" w:lineRule="exact"/>
              <w:ind w:firstLine="422" w:firstLineChars="200"/>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3)阐明了海底失稳与海底峡谷演化之间的相互作用，引导了海底地质灾害防治的新方向</w:t>
            </w:r>
          </w:p>
          <w:p w14:paraId="77DA446F">
            <w:pPr>
              <w:spacing w:line="40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海底峡谷的形成演化可造成潜在的地层失稳，然而，至今有关峡谷演变的灾害风险与机制依然不明。申请人通过对南海等多区域海底峡谷的系统研究，提出了海底失稳侵蚀先存地貌形成峡谷的新机制，揭示了多期海底失稳过程对峡谷地貌形态的强烈塑造作用，明确了峡谷演化能够加剧海底长期不稳定的灾害风险，为海底峡谷区的地质灾害评估提供了重要理论依据和科技支撑。</w:t>
            </w:r>
          </w:p>
          <w:p w14:paraId="4C8C54F4">
            <w:pPr>
              <w:spacing w:line="400" w:lineRule="exact"/>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(三)应用情况与社会经济效益</w:t>
            </w:r>
          </w:p>
          <w:p w14:paraId="45888538">
            <w:pPr>
              <w:spacing w:line="40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该项成果的相关理论，已成功应用于我国南海北部陆坡荔湾3-1及周边深水油气田开采过程中海底变形的识别及其灾害效应的评估，并以此建立了以原位地质数据结合钻井实时监测数据分析为技术核心的动态风险评估体系，有效降低了深水油气开发成本，并保障了南海北部深水油气开采过程中的安全、高效、可控开发，较好地服务了我国的能源安全开发战略。</w:t>
            </w:r>
          </w:p>
          <w:p w14:paraId="264081EA">
            <w:pPr>
              <w:spacing w:line="400" w:lineRule="exact"/>
              <w:ind w:firstLine="420" w:firstLineChars="200"/>
              <w:rPr>
                <w:rFonts w:hint="default" w:ascii="Times New Roman" w:hAnsi="Times New Roman" w:eastAsia="仿宋" w:cs="Times New Roman"/>
              </w:rPr>
            </w:pPr>
            <w:r>
              <w:rPr>
                <w:rFonts w:hint="default" w:ascii="Times New Roman" w:hAnsi="Times New Roman" w:eastAsia="宋体" w:cs="Times New Roman"/>
                <w:szCs w:val="21"/>
                <w:lang w:val="en-US" w:eastAsia="zh-CN"/>
              </w:rPr>
              <w:t>该成果在国际知名期刊发表SCI论文10篇，培养副研究</w:t>
            </w:r>
            <w:r>
              <w:rPr>
                <w:rFonts w:hint="eastAsia" w:ascii="Times New Roman" w:hAnsi="Times New Roman" w:eastAsia="宋体" w:cs="Times New Roman"/>
                <w:szCs w:val="21"/>
                <w:lang w:val="en-US" w:eastAsia="zh-CN"/>
              </w:rPr>
              <w:t>员</w:t>
            </w:r>
            <w:bookmarkStart w:id="0" w:name="_GoBack"/>
            <w:bookmarkEnd w:id="0"/>
            <w:r>
              <w:rPr>
                <w:rFonts w:hint="default" w:ascii="Times New Roman" w:hAnsi="Times New Roman" w:eastAsia="宋体" w:cs="Times New Roman"/>
                <w:szCs w:val="21"/>
                <w:lang w:val="en-US" w:eastAsia="zh-CN"/>
              </w:rPr>
              <w:t>1名，研究生5名；获实用新型专利5件，软件著作权6件。依托该成果，候选人获得了</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广东省自然科学基金杰出青年项目（2019年）</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等人才项目资助。</w:t>
            </w:r>
          </w:p>
        </w:tc>
      </w:tr>
      <w:tr w14:paraId="73B5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2244" w:type="dxa"/>
            <w:vAlign w:val="center"/>
          </w:tcPr>
          <w:p w14:paraId="248F21D6">
            <w:pPr>
              <w:snapToGrid w:val="0"/>
              <w:jc w:val="center"/>
              <w:rPr>
                <w:rFonts w:hint="default" w:ascii="Times New Roman" w:hAnsi="Times New Roman" w:eastAsia="仿宋" w:cs="Times New Roman"/>
                <w:b/>
                <w:bCs/>
              </w:rPr>
            </w:pPr>
            <w:r>
              <w:rPr>
                <w:rFonts w:hint="default" w:ascii="Times New Roman" w:hAnsi="Times New Roman" w:eastAsia="仿宋" w:cs="Times New Roman"/>
                <w:b/>
                <w:bCs/>
              </w:rPr>
              <w:t>客观评价</w:t>
            </w:r>
          </w:p>
        </w:tc>
        <w:tc>
          <w:tcPr>
            <w:tcW w:w="7220" w:type="dxa"/>
            <w:gridSpan w:val="3"/>
            <w:vAlign w:val="center"/>
          </w:tcPr>
          <w:p w14:paraId="133D0FA0">
            <w:pPr>
              <w:spacing w:line="400" w:lineRule="exact"/>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（一）企业应用证明与院士评审意见</w:t>
            </w:r>
          </w:p>
          <w:p w14:paraId="7E379D9C">
            <w:pPr>
              <w:spacing w:line="40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依托本基金项目的执行，系统揭示了南海北部海底不稳定性的成因机制，研究团队在珠江口盆地荔湾及白云深水区成功识别出海底变形区，并科学确定了其灾变风险，构建了动态地质风险评估体系。该成果为南海深水钻探工程提供了关键技术支撑，显著提升了地质风险识别与安全控制能力，有效降低了深水钻井事故发生率和非生产作业时间，产生了良好的经济效益。上述成果获得了中海石油（中国）有限公司深圳分公司的认可，并出具了相关企业应用证明。</w:t>
            </w:r>
          </w:p>
          <w:p w14:paraId="49C92D11">
            <w:pPr>
              <w:spacing w:line="40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2）本基金代表性成果获得了中国工程院院士张偲院士的高度评价。张院士指出：李伟研究员是我国从德国基尔大学引进的优秀海洋地球物理青年学者，长期致力于多波束与多道地震等海底地球物理数据的综合应用，他依托国家自然科学面上基金项目</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南海北部珠江口盆地海底蠕变区的形成机理及不稳定性研究</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围绕海底不稳定性及相关地质灾害成因机制开展了系统研究，取得的相关成果具有显著的新颖性和前瞻性，不仅极大地丰富了深水地质灾害风险评估与防治方面的理论体系，还推动了南海北部深水区油气勘探地质灾害风险评估与监测技术的发展，展现出了重要的学术价值和广阔的工程应用前景。部分成果已成功应用于深水油气开发中的动态风险评估，有效降低了深水钻井事故率和油气开发成本，较好地服务了我国的能源安全开发战略。</w:t>
            </w:r>
          </w:p>
          <w:p w14:paraId="63E9C0DF">
            <w:pPr>
              <w:spacing w:line="400" w:lineRule="exact"/>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（二）获奖情况和后续科研项目资助</w:t>
            </w:r>
          </w:p>
          <w:p w14:paraId="62D3D251">
            <w:pPr>
              <w:spacing w:line="40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（1）依托该项目的创新成果一</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揭示了慢速海底失稳（蠕变）的形成与灾变机制，提出了海底大范围连续变形的新机制</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，候选人荣获</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2022年度海南省自然科学一等奖</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（2023年）及</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刘光鼎地球物理青年科技奖</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（2024年）；并被授予中国科学院广州分院</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优秀青年科技工作者</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（2023年）以及中国科学院广州教育基地“优秀研究生导师”称号（2023年）。</w:t>
            </w:r>
          </w:p>
          <w:p w14:paraId="490EFCF7">
            <w:pPr>
              <w:spacing w:line="40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（2）依托本基金项目成果，候选人先后获得广东省自然科学基金杰出青年项目(2019年)以及2025年海南省自然科学基金创新研究团队(候选人为团队负责人)项目资助。</w:t>
            </w:r>
          </w:p>
          <w:p w14:paraId="10067380">
            <w:pPr>
              <w:spacing w:line="400" w:lineRule="exact"/>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（三）官方媒体评价</w:t>
            </w:r>
          </w:p>
          <w:p w14:paraId="0AE31A0C">
            <w:pPr>
              <w:spacing w:line="40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w:t>
            </w:r>
            <w:r>
              <w:rPr>
                <w:rFonts w:hint="eastAsia" w:ascii="Times New Roman" w:hAnsi="Times New Roman" w:eastAsia="宋体" w:cs="Times New Roman"/>
                <w:szCs w:val="21"/>
                <w:lang w:val="en-US" w:eastAsia="zh-CN"/>
              </w:rPr>
              <w:t>2</w:t>
            </w:r>
            <w:r>
              <w:rPr>
                <w:rFonts w:hint="default" w:ascii="Times New Roman" w:hAnsi="Times New Roman" w:eastAsia="宋体" w:cs="Times New Roman"/>
                <w:szCs w:val="21"/>
                <w:lang w:val="en-US" w:eastAsia="zh-CN"/>
              </w:rPr>
              <w:t>025</w:t>
            </w:r>
            <w:r>
              <w:rPr>
                <w:rFonts w:hint="eastAsia" w:ascii="Times New Roman" w:hAnsi="Times New Roman" w:eastAsia="宋体" w:cs="Times New Roman"/>
                <w:szCs w:val="21"/>
                <w:lang w:val="en-US" w:eastAsia="zh-CN"/>
              </w:rPr>
              <w:t>年</w:t>
            </w:r>
            <w:r>
              <w:rPr>
                <w:rFonts w:hint="default" w:ascii="Times New Roman" w:hAnsi="Times New Roman" w:eastAsia="宋体" w:cs="Times New Roman"/>
                <w:szCs w:val="21"/>
                <w:lang w:val="en-US" w:eastAsia="zh-CN"/>
              </w:rPr>
              <w:t>12</w:t>
            </w:r>
            <w:r>
              <w:rPr>
                <w:rFonts w:hint="eastAsia" w:ascii="Times New Roman" w:hAnsi="Times New Roman" w:eastAsia="宋体" w:cs="Times New Roman"/>
                <w:szCs w:val="21"/>
                <w:lang w:val="en-US" w:eastAsia="zh-CN"/>
              </w:rPr>
              <w:t>月</w:t>
            </w:r>
            <w:r>
              <w:rPr>
                <w:rFonts w:hint="default" w:ascii="Times New Roman" w:hAnsi="Times New Roman" w:eastAsia="宋体" w:cs="Times New Roman"/>
                <w:szCs w:val="21"/>
                <w:lang w:val="en-US" w:eastAsia="zh-CN"/>
              </w:rPr>
              <w:t>1</w:t>
            </w:r>
            <w:r>
              <w:rPr>
                <w:rFonts w:hint="eastAsia" w:ascii="Times New Roman" w:hAnsi="Times New Roman" w:eastAsia="宋体" w:cs="Times New Roman"/>
                <w:szCs w:val="21"/>
                <w:lang w:val="en-US" w:eastAsia="zh-CN"/>
              </w:rPr>
              <w:t>日，科学网以《新研究揭示海底滑坡的低纬驱动新机制》为题发布科研进展。报道指出，团队通过南海北部高分辨率三维地震、多波束和钻测井资料，揭示海平面升降可在无冰川直接作用的低纬大陆边缘形成粗细粒交互沉积与流体超压通道，进而孕育大型滑坡软弱层，将海平面变化控制海底滑坡的认识由高纬冰川边缘拓展到低纬海域，并为深海工程安全提供了新依据。</w:t>
            </w:r>
          </w:p>
          <w:p w14:paraId="597F7BEA">
            <w:pPr>
              <w:spacing w:line="40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（2）2021年12月30日，《广东科技报》以《中科院南海所科学家揭示南海西部深水海底水道的形成和演化机制》为题，报道了候选人提出的</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麻坑链在深水底流作用下演化为海底水道</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的新理论。该成果揭示了海底麻坑链如何在底流动力作用下形成连续水道结构，并进一步厘清了其在重力流与底流耦合作用下的演化路径，为全球海底水道地貌研究提供了新的认识。</w:t>
            </w:r>
          </w:p>
          <w:p w14:paraId="517C2069">
            <w:pPr>
              <w:spacing w:line="400" w:lineRule="exact"/>
              <w:ind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3）2022年1月4日，中国科学院南海海洋研究所官方网站以《南海海洋所科研人员完成南海海底地质灾害深潜科考任务》为题，报道了由候选人牵头完成的载人深潜任务。李伟研究员作为航次联合首席科学家，搭乘</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深海勇士</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号载人潜水器成功下潜至南海海底不稳定区，首次获取了关键的原位科考资料，显著提升了我国在南海深水区海底地质灾害原位观测与识别能力。此次任务的圆满完成标志着研究团队在</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深耕南海、跨越深蓝</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的科技创新征程中取得又一重大进展，为</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海洋强国</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战略的实施提供了坚实科研支撑。</w:t>
            </w:r>
          </w:p>
        </w:tc>
      </w:tr>
      <w:tr w14:paraId="34E2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restart"/>
            <w:vAlign w:val="center"/>
          </w:tcPr>
          <w:p w14:paraId="51AAA415">
            <w:pPr>
              <w:snapToGrid w:val="0"/>
              <w:jc w:val="center"/>
              <w:rPr>
                <w:rFonts w:hint="default" w:ascii="Times New Roman" w:hAnsi="Times New Roman" w:eastAsia="仿宋" w:cs="Times New Roman"/>
                <w:b/>
                <w:bCs/>
              </w:rPr>
            </w:pPr>
            <w:r>
              <w:rPr>
                <w:rFonts w:hint="default" w:ascii="Times New Roman" w:hAnsi="Times New Roman" w:eastAsia="仿宋" w:cs="Times New Roman"/>
                <w:b/>
                <w:bCs/>
              </w:rPr>
              <w:t>主要知识产权目录</w:t>
            </w:r>
          </w:p>
        </w:tc>
        <w:tc>
          <w:tcPr>
            <w:tcW w:w="7220" w:type="dxa"/>
            <w:gridSpan w:val="3"/>
            <w:vAlign w:val="center"/>
          </w:tcPr>
          <w:p w14:paraId="76F3C7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000000"/>
                <w:sz w:val="21"/>
                <w:szCs w:val="21"/>
              </w:rPr>
            </w:pPr>
            <w:r>
              <w:rPr>
                <w:rFonts w:hint="default" w:ascii="Times New Roman" w:hAnsi="Times New Roman" w:cs="Times New Roman"/>
                <w:b/>
                <w:bCs/>
              </w:rPr>
              <w:t>Li, W.</w:t>
            </w:r>
            <w:r>
              <w:rPr>
                <w:rFonts w:hint="eastAsia" w:ascii="Times New Roman" w:hAnsi="Times New Roman" w:cs="Times New Roman"/>
                <w:b/>
                <w:bCs/>
                <w:vertAlign w:val="superscript"/>
                <w:lang w:val="en-US" w:eastAsia="zh-CN"/>
              </w:rPr>
              <w:t>*</w:t>
            </w:r>
            <w:r>
              <w:rPr>
                <w:rFonts w:hint="default" w:ascii="Times New Roman" w:hAnsi="Times New Roman" w:cs="Times New Roman"/>
                <w:b/>
                <w:bCs/>
              </w:rPr>
              <w:t xml:space="preserve">, </w:t>
            </w:r>
            <w:r>
              <w:rPr>
                <w:rFonts w:hint="default" w:ascii="Times New Roman" w:hAnsi="Times New Roman" w:cs="Times New Roman"/>
              </w:rPr>
              <w:t xml:space="preserve">Jing, S., Urlaub, M., &amp; Rebesco, M. (2025). Sea-level variations influence weak layer formation and submarine landslides on a low-latitude continental margin. </w:t>
            </w:r>
            <w:r>
              <w:rPr>
                <w:rStyle w:val="15"/>
                <w:rFonts w:hint="default" w:ascii="Times New Roman" w:hAnsi="Times New Roman" w:cs="Times New Roman"/>
              </w:rPr>
              <w:t>Communications Earth &amp; Environment</w:t>
            </w:r>
            <w:r>
              <w:rPr>
                <w:rFonts w:hint="default" w:ascii="Times New Roman" w:hAnsi="Times New Roman" w:cs="Times New Roman"/>
              </w:rPr>
              <w:t xml:space="preserve">, 6, 950. </w:t>
            </w:r>
          </w:p>
        </w:tc>
      </w:tr>
      <w:tr w14:paraId="73E5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4361B882">
            <w:pPr>
              <w:snapToGrid w:val="0"/>
              <w:jc w:val="center"/>
              <w:rPr>
                <w:rFonts w:hint="default" w:ascii="Times New Roman" w:hAnsi="Times New Roman" w:eastAsia="仿宋" w:cs="Times New Roman"/>
                <w:b/>
                <w:bCs/>
              </w:rPr>
            </w:pPr>
          </w:p>
        </w:tc>
        <w:tc>
          <w:tcPr>
            <w:tcW w:w="7220" w:type="dxa"/>
            <w:gridSpan w:val="3"/>
            <w:vAlign w:val="center"/>
          </w:tcPr>
          <w:p w14:paraId="173BCA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000000"/>
                <w:sz w:val="21"/>
                <w:szCs w:val="21"/>
              </w:rPr>
            </w:pPr>
            <w:r>
              <w:rPr>
                <w:rFonts w:hint="default" w:ascii="Times New Roman" w:hAnsi="Times New Roman" w:cs="Times New Roman"/>
                <w:b/>
                <w:bCs/>
              </w:rPr>
              <w:t>Li, W.</w:t>
            </w:r>
            <w:r>
              <w:rPr>
                <w:rFonts w:hint="eastAsia" w:ascii="Times New Roman" w:hAnsi="Times New Roman" w:cs="Times New Roman"/>
                <w:b/>
                <w:bCs/>
                <w:vertAlign w:val="superscript"/>
                <w:lang w:val="en-US" w:eastAsia="zh-CN"/>
              </w:rPr>
              <w:t>*</w:t>
            </w:r>
            <w:r>
              <w:rPr>
                <w:rFonts w:hint="default" w:ascii="Times New Roman" w:hAnsi="Times New Roman" w:cs="Times New Roman"/>
                <w:b/>
                <w:bCs/>
              </w:rPr>
              <w:t xml:space="preserve">, </w:t>
            </w:r>
            <w:r>
              <w:rPr>
                <w:rFonts w:hint="default" w:ascii="Times New Roman" w:hAnsi="Times New Roman" w:cs="Times New Roman"/>
              </w:rPr>
              <w:t xml:space="preserve">Krastel, S., Alves, T. M., Urlaub, M., Mehringer, L., Schürer, A., Feldens, P., Gross, F., Stevenson, C. J., &amp; Wynn, R. B. (2018). The Agadir Slide offshore NW Africa: Morphology, emplacement dynamics, and potential contribution to the Moroccan Turbidite System. </w:t>
            </w:r>
            <w:r>
              <w:rPr>
                <w:rStyle w:val="15"/>
                <w:rFonts w:hint="default" w:ascii="Times New Roman" w:hAnsi="Times New Roman" w:cs="Times New Roman"/>
              </w:rPr>
              <w:t>Earth and Planetary Science Letters</w:t>
            </w:r>
            <w:r>
              <w:rPr>
                <w:rFonts w:hint="default" w:ascii="Times New Roman" w:hAnsi="Times New Roman" w:cs="Times New Roman"/>
              </w:rPr>
              <w:t>, 498, 436</w:t>
            </w:r>
            <w:r>
              <w:rPr>
                <w:rFonts w:hint="eastAsia" w:ascii="Times New Roman" w:hAnsi="Times New Roman" w:cs="Times New Roman"/>
                <w:lang w:eastAsia="zh-CN"/>
              </w:rPr>
              <w:t>-</w:t>
            </w:r>
            <w:r>
              <w:rPr>
                <w:rFonts w:hint="default" w:ascii="Times New Roman" w:hAnsi="Times New Roman" w:cs="Times New Roman"/>
              </w:rPr>
              <w:t xml:space="preserve">449. </w:t>
            </w:r>
          </w:p>
        </w:tc>
      </w:tr>
      <w:tr w14:paraId="65AF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4D67000D">
            <w:pPr>
              <w:snapToGrid w:val="0"/>
              <w:jc w:val="center"/>
              <w:rPr>
                <w:rFonts w:hint="default" w:ascii="Times New Roman" w:hAnsi="Times New Roman" w:eastAsia="仿宋" w:cs="Times New Roman"/>
                <w:b/>
                <w:bCs/>
              </w:rPr>
            </w:pPr>
          </w:p>
        </w:tc>
        <w:tc>
          <w:tcPr>
            <w:tcW w:w="7220" w:type="dxa"/>
            <w:gridSpan w:val="3"/>
            <w:vAlign w:val="center"/>
          </w:tcPr>
          <w:p w14:paraId="7A44A2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000000"/>
                <w:sz w:val="21"/>
                <w:szCs w:val="21"/>
              </w:rPr>
            </w:pPr>
            <w:r>
              <w:rPr>
                <w:rFonts w:hint="default" w:ascii="Times New Roman" w:hAnsi="Times New Roman" w:cs="Times New Roman"/>
                <w:b/>
                <w:bCs/>
              </w:rPr>
              <w:t>Li, W.</w:t>
            </w:r>
            <w:r>
              <w:rPr>
                <w:rFonts w:hint="eastAsia" w:ascii="Times New Roman" w:hAnsi="Times New Roman" w:cs="Times New Roman"/>
                <w:b/>
                <w:bCs/>
                <w:vertAlign w:val="superscript"/>
                <w:lang w:val="en-US" w:eastAsia="zh-CN"/>
              </w:rPr>
              <w:t>*</w:t>
            </w:r>
            <w:r>
              <w:rPr>
                <w:rFonts w:hint="default" w:ascii="Times New Roman" w:hAnsi="Times New Roman" w:cs="Times New Roman"/>
                <w:b/>
                <w:bCs/>
              </w:rPr>
              <w:t xml:space="preserve">, </w:t>
            </w:r>
            <w:r>
              <w:rPr>
                <w:rFonts w:hint="default" w:ascii="Times New Roman" w:hAnsi="Times New Roman" w:cs="Times New Roman"/>
              </w:rPr>
              <w:t xml:space="preserve">Alves, T. M., Wu, S., Rebesco, M., Zhao, F., Mi, L., &amp; Ma, B. (2016). A giant, submarine creep zone as a precursor of large-scale slope instability offshore the Dongsha Islands (South China Sea). </w:t>
            </w:r>
            <w:r>
              <w:rPr>
                <w:rStyle w:val="15"/>
                <w:rFonts w:hint="default" w:ascii="Times New Roman" w:hAnsi="Times New Roman" w:cs="Times New Roman"/>
              </w:rPr>
              <w:t>Earth and Planetary Science Letters</w:t>
            </w:r>
            <w:r>
              <w:rPr>
                <w:rFonts w:hint="default" w:ascii="Times New Roman" w:hAnsi="Times New Roman" w:cs="Times New Roman"/>
              </w:rPr>
              <w:t>, 451, 272</w:t>
            </w:r>
            <w:r>
              <w:rPr>
                <w:rFonts w:hint="eastAsia" w:ascii="Times New Roman" w:hAnsi="Times New Roman" w:cs="Times New Roman"/>
                <w:lang w:eastAsia="zh-CN"/>
              </w:rPr>
              <w:t>-</w:t>
            </w:r>
            <w:r>
              <w:rPr>
                <w:rFonts w:hint="default" w:ascii="Times New Roman" w:hAnsi="Times New Roman" w:cs="Times New Roman"/>
              </w:rPr>
              <w:t xml:space="preserve">284. </w:t>
            </w:r>
          </w:p>
        </w:tc>
      </w:tr>
      <w:tr w14:paraId="19B3D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6049A8BD">
            <w:pPr>
              <w:snapToGrid w:val="0"/>
              <w:jc w:val="center"/>
              <w:rPr>
                <w:rFonts w:hint="default" w:ascii="Times New Roman" w:hAnsi="Times New Roman" w:eastAsia="仿宋" w:cs="Times New Roman"/>
                <w:b/>
                <w:bCs/>
              </w:rPr>
            </w:pPr>
          </w:p>
        </w:tc>
        <w:tc>
          <w:tcPr>
            <w:tcW w:w="7220" w:type="dxa"/>
            <w:gridSpan w:val="3"/>
            <w:vAlign w:val="center"/>
          </w:tcPr>
          <w:p w14:paraId="464A53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000000"/>
                <w:sz w:val="21"/>
                <w:szCs w:val="21"/>
              </w:rPr>
            </w:pPr>
            <w:r>
              <w:rPr>
                <w:rFonts w:hint="default" w:ascii="Times New Roman" w:hAnsi="Times New Roman" w:cs="Times New Roman"/>
              </w:rPr>
              <w:t xml:space="preserve">Yu, K., Miramontes, E., Alves, T. M., </w:t>
            </w:r>
            <w:r>
              <w:rPr>
                <w:rFonts w:hint="default" w:ascii="Times New Roman" w:hAnsi="Times New Roman" w:cs="Times New Roman"/>
                <w:b/>
                <w:bCs/>
              </w:rPr>
              <w:t>Li, W.</w:t>
            </w:r>
            <w:r>
              <w:rPr>
                <w:rFonts w:hint="eastAsia" w:ascii="Times New Roman" w:hAnsi="Times New Roman" w:cs="Times New Roman"/>
                <w:b/>
                <w:bCs/>
                <w:vertAlign w:val="superscript"/>
                <w:lang w:val="en-US" w:eastAsia="zh-CN"/>
              </w:rPr>
              <w:t>*</w:t>
            </w:r>
            <w:r>
              <w:rPr>
                <w:rFonts w:hint="default" w:ascii="Times New Roman" w:hAnsi="Times New Roman" w:cs="Times New Roman"/>
                <w:b/>
                <w:bCs/>
              </w:rPr>
              <w:t xml:space="preserve">, </w:t>
            </w:r>
            <w:r>
              <w:rPr>
                <w:rFonts w:hint="default" w:ascii="Times New Roman" w:hAnsi="Times New Roman" w:cs="Times New Roman"/>
              </w:rPr>
              <w:t xml:space="preserve">Liang, L., Li, S., Zhan, W., &amp; Wu, S. (2021). Incision of Submarine Channels Over Pockmark Trains in the South China Sea. </w:t>
            </w:r>
            <w:r>
              <w:rPr>
                <w:rStyle w:val="15"/>
                <w:rFonts w:hint="default" w:ascii="Times New Roman" w:hAnsi="Times New Roman" w:cs="Times New Roman"/>
              </w:rPr>
              <w:t>Geophysical Research Letters</w:t>
            </w:r>
            <w:r>
              <w:rPr>
                <w:rFonts w:hint="default" w:ascii="Times New Roman" w:hAnsi="Times New Roman" w:cs="Times New Roman"/>
              </w:rPr>
              <w:t xml:space="preserve">, 48(24), e2021GL092861. </w:t>
            </w:r>
          </w:p>
        </w:tc>
      </w:tr>
      <w:tr w14:paraId="4B49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5577C7E3">
            <w:pPr>
              <w:snapToGrid w:val="0"/>
              <w:jc w:val="center"/>
              <w:rPr>
                <w:rFonts w:hint="default" w:ascii="Times New Roman" w:hAnsi="Times New Roman" w:eastAsia="仿宋" w:cs="Times New Roman"/>
                <w:b/>
                <w:bCs/>
              </w:rPr>
            </w:pPr>
          </w:p>
        </w:tc>
        <w:tc>
          <w:tcPr>
            <w:tcW w:w="7220" w:type="dxa"/>
            <w:gridSpan w:val="3"/>
            <w:vAlign w:val="center"/>
          </w:tcPr>
          <w:p w14:paraId="35AD5E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000000"/>
                <w:sz w:val="21"/>
                <w:szCs w:val="21"/>
              </w:rPr>
            </w:pPr>
            <w:r>
              <w:rPr>
                <w:rFonts w:hint="default" w:ascii="Times New Roman" w:hAnsi="Times New Roman" w:cs="Times New Roman"/>
                <w:b/>
                <w:bCs/>
              </w:rPr>
              <w:t>Li, W.</w:t>
            </w:r>
            <w:r>
              <w:rPr>
                <w:rFonts w:hint="eastAsia" w:ascii="Times New Roman" w:hAnsi="Times New Roman" w:cs="Times New Roman"/>
                <w:b/>
                <w:bCs/>
                <w:vertAlign w:val="superscript"/>
                <w:lang w:val="en-US" w:eastAsia="zh-CN"/>
              </w:rPr>
              <w:t>*</w:t>
            </w:r>
            <w:r>
              <w:rPr>
                <w:rFonts w:hint="default" w:ascii="Times New Roman" w:hAnsi="Times New Roman" w:cs="Times New Roman"/>
                <w:b/>
                <w:bCs/>
              </w:rPr>
              <w:t>,</w:t>
            </w:r>
            <w:r>
              <w:rPr>
                <w:rFonts w:hint="default" w:ascii="Times New Roman" w:hAnsi="Times New Roman" w:cs="Times New Roman"/>
              </w:rPr>
              <w:t xml:space="preserve"> Li, Y., Omosanya, K. O. L., Alves, T. M., Jing, S., Wang, X., Wu, N., &amp; Zhan, W. (2023). Quantitative and geomorphologic parameterization of megaclasts within mass-transport complexes, offshore Taranaki Basin, New Zealand. </w:t>
            </w:r>
            <w:r>
              <w:rPr>
                <w:rStyle w:val="15"/>
                <w:rFonts w:hint="default" w:ascii="Times New Roman" w:hAnsi="Times New Roman" w:cs="Times New Roman"/>
              </w:rPr>
              <w:t>GSA Bulletin</w:t>
            </w:r>
            <w:r>
              <w:rPr>
                <w:rFonts w:hint="default" w:ascii="Times New Roman" w:hAnsi="Times New Roman" w:cs="Times New Roman"/>
              </w:rPr>
              <w:t>, 135(7</w:t>
            </w:r>
            <w:r>
              <w:rPr>
                <w:rFonts w:hint="eastAsia" w:ascii="Times New Roman" w:hAnsi="Times New Roman" w:cs="Times New Roman"/>
                <w:lang w:eastAsia="zh-CN"/>
              </w:rPr>
              <w:t>-</w:t>
            </w:r>
            <w:r>
              <w:rPr>
                <w:rFonts w:hint="default" w:ascii="Times New Roman" w:hAnsi="Times New Roman" w:cs="Times New Roman"/>
              </w:rPr>
              <w:t>8), 1828</w:t>
            </w:r>
            <w:r>
              <w:rPr>
                <w:rFonts w:hint="eastAsia" w:ascii="Times New Roman" w:hAnsi="Times New Roman" w:cs="Times New Roman"/>
                <w:lang w:eastAsia="zh-CN"/>
              </w:rPr>
              <w:t>-</w:t>
            </w:r>
            <w:r>
              <w:rPr>
                <w:rFonts w:hint="default" w:ascii="Times New Roman" w:hAnsi="Times New Roman" w:cs="Times New Roman"/>
              </w:rPr>
              <w:t xml:space="preserve">1843. </w:t>
            </w:r>
          </w:p>
        </w:tc>
      </w:tr>
      <w:tr w14:paraId="381F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18CB193C">
            <w:pPr>
              <w:snapToGrid w:val="0"/>
              <w:jc w:val="center"/>
              <w:rPr>
                <w:rFonts w:hint="default" w:ascii="Times New Roman" w:hAnsi="Times New Roman" w:eastAsia="仿宋" w:cs="Times New Roman"/>
                <w:b/>
                <w:bCs/>
              </w:rPr>
            </w:pPr>
          </w:p>
        </w:tc>
        <w:tc>
          <w:tcPr>
            <w:tcW w:w="7220" w:type="dxa"/>
            <w:gridSpan w:val="3"/>
            <w:vAlign w:val="center"/>
          </w:tcPr>
          <w:p w14:paraId="499E38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000000"/>
                <w:sz w:val="21"/>
                <w:szCs w:val="21"/>
              </w:rPr>
            </w:pPr>
            <w:r>
              <w:rPr>
                <w:rFonts w:hint="default" w:ascii="Times New Roman" w:hAnsi="Times New Roman" w:cs="Times New Roman"/>
              </w:rPr>
              <w:t xml:space="preserve">Li, J., </w:t>
            </w:r>
            <w:r>
              <w:rPr>
                <w:rFonts w:hint="default" w:ascii="Times New Roman" w:hAnsi="Times New Roman" w:cs="Times New Roman"/>
                <w:b/>
                <w:bCs/>
              </w:rPr>
              <w:t>Li, W.</w:t>
            </w:r>
            <w:r>
              <w:rPr>
                <w:rFonts w:hint="eastAsia" w:ascii="Times New Roman" w:hAnsi="Times New Roman" w:cs="Times New Roman"/>
                <w:b/>
                <w:bCs/>
                <w:vertAlign w:val="superscript"/>
                <w:lang w:val="en-US" w:eastAsia="zh-CN"/>
              </w:rPr>
              <w:t>*</w:t>
            </w:r>
            <w:r>
              <w:rPr>
                <w:rFonts w:hint="default" w:ascii="Times New Roman" w:hAnsi="Times New Roman" w:cs="Times New Roman"/>
                <w:b/>
                <w:bCs/>
              </w:rPr>
              <w:t>,</w:t>
            </w:r>
            <w:r>
              <w:rPr>
                <w:rFonts w:hint="default" w:ascii="Times New Roman" w:hAnsi="Times New Roman" w:cs="Times New Roman"/>
              </w:rPr>
              <w:t xml:space="preserve"> Feng, Y., Ribó, M., Puig, P., Rebesco, M., Sun, J., &amp; Zhan, W. (2026). Internal wave-induced sediment wave formation on continental margins: Insights from the South China Sea. </w:t>
            </w:r>
            <w:r>
              <w:rPr>
                <w:rStyle w:val="15"/>
                <w:rFonts w:hint="default" w:ascii="Times New Roman" w:hAnsi="Times New Roman" w:cs="Times New Roman"/>
              </w:rPr>
              <w:t>GSA Bulletin</w:t>
            </w:r>
            <w:r>
              <w:rPr>
                <w:rFonts w:hint="default" w:ascii="Times New Roman" w:hAnsi="Times New Roman" w:cs="Times New Roman"/>
              </w:rPr>
              <w:t>, 138(7</w:t>
            </w:r>
            <w:r>
              <w:rPr>
                <w:rFonts w:hint="eastAsia" w:ascii="Times New Roman" w:hAnsi="Times New Roman" w:cs="Times New Roman"/>
                <w:lang w:eastAsia="zh-CN"/>
              </w:rPr>
              <w:t>-</w:t>
            </w:r>
            <w:r>
              <w:rPr>
                <w:rFonts w:hint="default" w:ascii="Times New Roman" w:hAnsi="Times New Roman" w:cs="Times New Roman"/>
              </w:rPr>
              <w:t xml:space="preserve">8). </w:t>
            </w:r>
          </w:p>
        </w:tc>
      </w:tr>
      <w:tr w14:paraId="6413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2620EE4B">
            <w:pPr>
              <w:snapToGrid w:val="0"/>
              <w:jc w:val="center"/>
              <w:rPr>
                <w:rFonts w:hint="default" w:ascii="Times New Roman" w:hAnsi="Times New Roman" w:eastAsia="仿宋" w:cs="Times New Roman"/>
                <w:b/>
                <w:bCs/>
              </w:rPr>
            </w:pPr>
          </w:p>
        </w:tc>
        <w:tc>
          <w:tcPr>
            <w:tcW w:w="7220" w:type="dxa"/>
            <w:gridSpan w:val="3"/>
            <w:vAlign w:val="center"/>
          </w:tcPr>
          <w:p w14:paraId="17E7EA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000000"/>
                <w:sz w:val="21"/>
                <w:szCs w:val="21"/>
              </w:rPr>
            </w:pPr>
            <w:r>
              <w:rPr>
                <w:rFonts w:hint="default" w:ascii="Times New Roman" w:hAnsi="Times New Roman" w:cs="Times New Roman"/>
              </w:rPr>
              <w:t xml:space="preserve">Jing, S., Alves, T. M., Omosanya, K. O., &amp; </w:t>
            </w:r>
            <w:r>
              <w:rPr>
                <w:rFonts w:hint="default" w:ascii="Times New Roman" w:hAnsi="Times New Roman" w:cs="Times New Roman"/>
                <w:b/>
                <w:bCs/>
              </w:rPr>
              <w:t>Li, W</w:t>
            </w:r>
            <w:r>
              <w:rPr>
                <w:rFonts w:hint="eastAsia" w:ascii="Times New Roman" w:hAnsi="Times New Roman" w:cs="Times New Roman"/>
                <w:b/>
                <w:bCs/>
                <w:vertAlign w:val="superscript"/>
                <w:lang w:val="en-US" w:eastAsia="zh-CN"/>
              </w:rPr>
              <w:t>*</w:t>
            </w:r>
            <w:r>
              <w:rPr>
                <w:rFonts w:hint="default" w:ascii="Times New Roman" w:hAnsi="Times New Roman" w:cs="Times New Roman"/>
                <w:b/>
                <w:bCs/>
              </w:rPr>
              <w:t>.</w:t>
            </w:r>
            <w:r>
              <w:rPr>
                <w:rFonts w:hint="default" w:ascii="Times New Roman" w:hAnsi="Times New Roman" w:cs="Times New Roman"/>
              </w:rPr>
              <w:t xml:space="preserve"> (2024). Long-term slope instability induced by the reactivation of mass transport complexes: An underestimated geohazard on the Norwegian continental margin. </w:t>
            </w:r>
            <w:r>
              <w:rPr>
                <w:rStyle w:val="15"/>
                <w:rFonts w:hint="default" w:ascii="Times New Roman" w:hAnsi="Times New Roman" w:cs="Times New Roman"/>
              </w:rPr>
              <w:t>GSA Bulletin</w:t>
            </w:r>
            <w:r>
              <w:rPr>
                <w:rFonts w:hint="default" w:ascii="Times New Roman" w:hAnsi="Times New Roman" w:cs="Times New Roman"/>
              </w:rPr>
              <w:t>, 136(3</w:t>
            </w:r>
            <w:r>
              <w:rPr>
                <w:rFonts w:hint="eastAsia" w:ascii="Times New Roman" w:hAnsi="Times New Roman" w:cs="Times New Roman"/>
                <w:lang w:eastAsia="zh-CN"/>
              </w:rPr>
              <w:t>-</w:t>
            </w:r>
            <w:r>
              <w:rPr>
                <w:rFonts w:hint="default" w:ascii="Times New Roman" w:hAnsi="Times New Roman" w:cs="Times New Roman"/>
              </w:rPr>
              <w:t>4), 1701</w:t>
            </w:r>
            <w:r>
              <w:rPr>
                <w:rFonts w:hint="eastAsia" w:ascii="Times New Roman" w:hAnsi="Times New Roman" w:cs="Times New Roman"/>
                <w:lang w:eastAsia="zh-CN"/>
              </w:rPr>
              <w:t>-</w:t>
            </w:r>
            <w:r>
              <w:rPr>
                <w:rFonts w:hint="default" w:ascii="Times New Roman" w:hAnsi="Times New Roman" w:cs="Times New Roman"/>
              </w:rPr>
              <w:t xml:space="preserve">1712. </w:t>
            </w:r>
          </w:p>
        </w:tc>
      </w:tr>
      <w:tr w14:paraId="5643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5D530440">
            <w:pPr>
              <w:snapToGrid w:val="0"/>
              <w:jc w:val="center"/>
              <w:rPr>
                <w:rFonts w:hint="default" w:ascii="Times New Roman" w:hAnsi="Times New Roman" w:eastAsia="仿宋" w:cs="Times New Roman"/>
                <w:b/>
                <w:bCs/>
              </w:rPr>
            </w:pPr>
          </w:p>
        </w:tc>
        <w:tc>
          <w:tcPr>
            <w:tcW w:w="7220" w:type="dxa"/>
            <w:gridSpan w:val="3"/>
            <w:vAlign w:val="center"/>
          </w:tcPr>
          <w:p w14:paraId="5953C0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000000"/>
                <w:sz w:val="21"/>
                <w:szCs w:val="21"/>
              </w:rPr>
            </w:pPr>
            <w:r>
              <w:rPr>
                <w:rFonts w:hint="default" w:ascii="Times New Roman" w:hAnsi="Times New Roman" w:cs="Times New Roman"/>
              </w:rPr>
              <w:t xml:space="preserve">Yu, K., </w:t>
            </w:r>
            <w:r>
              <w:rPr>
                <w:rFonts w:hint="default" w:ascii="Times New Roman" w:hAnsi="Times New Roman" w:cs="Times New Roman"/>
                <w:b/>
                <w:bCs/>
              </w:rPr>
              <w:t>Li, W.</w:t>
            </w:r>
            <w:r>
              <w:rPr>
                <w:rFonts w:hint="eastAsia" w:ascii="Times New Roman" w:hAnsi="Times New Roman" w:cs="Times New Roman"/>
                <w:b/>
                <w:bCs/>
                <w:vertAlign w:val="superscript"/>
                <w:lang w:val="en-US" w:eastAsia="zh-CN"/>
              </w:rPr>
              <w:t>*</w:t>
            </w:r>
            <w:r>
              <w:rPr>
                <w:rFonts w:hint="default" w:ascii="Times New Roman" w:hAnsi="Times New Roman" w:cs="Times New Roman"/>
                <w:b/>
                <w:bCs/>
              </w:rPr>
              <w:t>,</w:t>
            </w:r>
            <w:r>
              <w:rPr>
                <w:rFonts w:hint="default" w:ascii="Times New Roman" w:hAnsi="Times New Roman" w:cs="Times New Roman"/>
              </w:rPr>
              <w:t xml:space="preserve"> Xu, J., Zhan, W., Yang, Y., &amp; Miramontes, E. (2025). Interaction of Turbidity Currents Traversing a Pockmark Field: Insights for Submarine Channel Inception. </w:t>
            </w:r>
            <w:r>
              <w:rPr>
                <w:rStyle w:val="15"/>
                <w:rFonts w:hint="default" w:ascii="Times New Roman" w:hAnsi="Times New Roman" w:cs="Times New Roman"/>
              </w:rPr>
              <w:t>Journal of Geophysical Research: Earth Surface</w:t>
            </w:r>
            <w:r>
              <w:rPr>
                <w:rFonts w:hint="default" w:ascii="Times New Roman" w:hAnsi="Times New Roman" w:cs="Times New Roman"/>
              </w:rPr>
              <w:t xml:space="preserve">, 130, e2025JF008394. </w:t>
            </w:r>
          </w:p>
        </w:tc>
      </w:tr>
      <w:tr w14:paraId="521C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5F2226F9">
            <w:pPr>
              <w:snapToGrid w:val="0"/>
              <w:jc w:val="center"/>
              <w:rPr>
                <w:rFonts w:hint="default" w:ascii="Times New Roman" w:hAnsi="Times New Roman" w:eastAsia="仿宋" w:cs="Times New Roman"/>
                <w:b/>
                <w:bCs/>
              </w:rPr>
            </w:pPr>
          </w:p>
        </w:tc>
        <w:tc>
          <w:tcPr>
            <w:tcW w:w="7220" w:type="dxa"/>
            <w:gridSpan w:val="3"/>
            <w:vAlign w:val="center"/>
          </w:tcPr>
          <w:p w14:paraId="15BC27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000000"/>
                <w:sz w:val="21"/>
                <w:szCs w:val="21"/>
              </w:rPr>
            </w:pPr>
            <w:r>
              <w:rPr>
                <w:rFonts w:hint="default" w:ascii="Times New Roman" w:hAnsi="Times New Roman" w:cs="Times New Roman"/>
              </w:rPr>
              <w:t>赵中伟，高伟健，李爽，张昌榕，</w:t>
            </w:r>
            <w:r>
              <w:rPr>
                <w:rFonts w:hint="default" w:ascii="Times New Roman" w:hAnsi="Times New Roman" w:cs="Times New Roman"/>
                <w:b/>
                <w:bCs/>
              </w:rPr>
              <w:t>李伟</w:t>
            </w:r>
            <w:r>
              <w:rPr>
                <w:rFonts w:hint="default" w:ascii="Times New Roman" w:hAnsi="Times New Roman" w:cs="Times New Roman"/>
              </w:rPr>
              <w:t xml:space="preserve">. 一种适用于基岩海岸的集成式海岸侵蚀监测系统. 实用新型专利，专利号：ZL202122029296.8，授权公告号：CN215525006U，授权日期：2022-01-14，中国科学院南海海洋研究所. </w:t>
            </w:r>
          </w:p>
        </w:tc>
      </w:tr>
      <w:tr w14:paraId="3817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386EA26B">
            <w:pPr>
              <w:snapToGrid w:val="0"/>
              <w:jc w:val="center"/>
              <w:rPr>
                <w:rFonts w:hint="default" w:ascii="Times New Roman" w:hAnsi="Times New Roman" w:eastAsia="仿宋" w:cs="Times New Roman"/>
                <w:b/>
                <w:bCs/>
              </w:rPr>
            </w:pPr>
          </w:p>
        </w:tc>
        <w:tc>
          <w:tcPr>
            <w:tcW w:w="7220" w:type="dxa"/>
            <w:gridSpan w:val="3"/>
            <w:vAlign w:val="center"/>
          </w:tcPr>
          <w:p w14:paraId="76D542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000000"/>
                <w:sz w:val="21"/>
                <w:szCs w:val="21"/>
              </w:rPr>
            </w:pPr>
            <w:r>
              <w:rPr>
                <w:rFonts w:hint="default" w:ascii="Times New Roman" w:hAnsi="Times New Roman" w:cs="Times New Roman"/>
              </w:rPr>
              <w:t>赵中伟，高伟健，吴凌云，汪灵，</w:t>
            </w:r>
            <w:r>
              <w:rPr>
                <w:rFonts w:hint="default" w:ascii="Times New Roman" w:hAnsi="Times New Roman" w:cs="Times New Roman"/>
                <w:b/>
                <w:bCs/>
              </w:rPr>
              <w:t>李伟</w:t>
            </w:r>
            <w:r>
              <w:rPr>
                <w:rFonts w:hint="default" w:ascii="Times New Roman" w:hAnsi="Times New Roman" w:cs="Times New Roman"/>
              </w:rPr>
              <w:t xml:space="preserve">. 适用于岛礁区浅水海底地貌测绘的集成式数据采集系统. 实用新型专利，专利号：ZL202220679118.1，授权公告号：CN217332870U，授权日期：2022-08-30，中国科学院南海海洋研究所. </w:t>
            </w:r>
          </w:p>
        </w:tc>
      </w:tr>
      <w:tr w14:paraId="5371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1CED7509">
            <w:pPr>
              <w:snapToGrid w:val="0"/>
              <w:jc w:val="center"/>
              <w:rPr>
                <w:rFonts w:hint="default" w:ascii="Times New Roman" w:hAnsi="Times New Roman" w:eastAsia="仿宋" w:cs="Times New Roman"/>
                <w:b/>
                <w:bCs/>
              </w:rPr>
            </w:pPr>
          </w:p>
        </w:tc>
        <w:tc>
          <w:tcPr>
            <w:tcW w:w="7220" w:type="dxa"/>
            <w:gridSpan w:val="3"/>
            <w:vAlign w:val="center"/>
          </w:tcPr>
          <w:p w14:paraId="27428F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000000"/>
                <w:sz w:val="21"/>
                <w:szCs w:val="21"/>
              </w:rPr>
            </w:pPr>
            <w:r>
              <w:rPr>
                <w:rFonts w:hint="default" w:ascii="Times New Roman" w:hAnsi="Times New Roman" w:cs="Times New Roman"/>
              </w:rPr>
              <w:t>赵中伟，赵斌，高伟健，吴凌云，</w:t>
            </w:r>
            <w:r>
              <w:rPr>
                <w:rFonts w:hint="default" w:ascii="Times New Roman" w:hAnsi="Times New Roman" w:cs="Times New Roman"/>
                <w:b/>
                <w:bCs/>
              </w:rPr>
              <w:t>李伟</w:t>
            </w:r>
            <w:r>
              <w:rPr>
                <w:rFonts w:hint="default" w:ascii="Times New Roman" w:hAnsi="Times New Roman" w:cs="Times New Roman"/>
              </w:rPr>
              <w:t xml:space="preserve">. 一种海岛基岩海岸潮间带波浪潮位信息监测系统. 实用新型专利，专利号：ZL202320520702.7，授权日期：2023-12-26，中国科学院南海海洋研究所. </w:t>
            </w:r>
          </w:p>
        </w:tc>
      </w:tr>
      <w:tr w14:paraId="3105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388FE988">
            <w:pPr>
              <w:snapToGrid w:val="0"/>
              <w:jc w:val="center"/>
              <w:rPr>
                <w:rFonts w:hint="default" w:ascii="Times New Roman" w:hAnsi="Times New Roman" w:eastAsia="仿宋" w:cs="Times New Roman"/>
                <w:b/>
                <w:bCs/>
              </w:rPr>
            </w:pPr>
          </w:p>
        </w:tc>
        <w:tc>
          <w:tcPr>
            <w:tcW w:w="7220" w:type="dxa"/>
            <w:gridSpan w:val="3"/>
            <w:vAlign w:val="center"/>
          </w:tcPr>
          <w:p w14:paraId="71E765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000000"/>
                <w:sz w:val="21"/>
                <w:szCs w:val="21"/>
              </w:rPr>
            </w:pPr>
            <w:r>
              <w:rPr>
                <w:rFonts w:hint="default" w:ascii="Times New Roman" w:hAnsi="Times New Roman" w:cs="Times New Roman"/>
              </w:rPr>
              <w:t xml:space="preserve">中国科学院南海海洋研究所. 海岛近岸海洋水文评价数据处理及可视化软件 V1.0. 计算机软件著作权，登记号：2022SR0353881，登记日期：2022-03-16. </w:t>
            </w:r>
          </w:p>
        </w:tc>
      </w:tr>
      <w:tr w14:paraId="67EC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6C0A268B">
            <w:pPr>
              <w:snapToGrid w:val="0"/>
              <w:jc w:val="center"/>
              <w:rPr>
                <w:rFonts w:hint="default" w:ascii="Times New Roman" w:hAnsi="Times New Roman" w:eastAsia="仿宋" w:cs="Times New Roman"/>
                <w:b/>
                <w:bCs/>
              </w:rPr>
            </w:pPr>
          </w:p>
        </w:tc>
        <w:tc>
          <w:tcPr>
            <w:tcW w:w="7220" w:type="dxa"/>
            <w:gridSpan w:val="3"/>
            <w:vAlign w:val="center"/>
          </w:tcPr>
          <w:p w14:paraId="6A085F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000000"/>
                <w:sz w:val="21"/>
                <w:szCs w:val="21"/>
              </w:rPr>
            </w:pPr>
            <w:r>
              <w:rPr>
                <w:rFonts w:hint="default" w:ascii="Times New Roman" w:hAnsi="Times New Roman" w:cs="Times New Roman"/>
              </w:rPr>
              <w:t xml:space="preserve">中国科学院南海海洋研究所，中国科学院南海海洋研究所三亚中科海洋研究院. 基于BAS的区域授权数据处理及可视化软件 V1.0. 计算机软件著作权，登记号：2022SR0520060，登记日期：2022-04-25. </w:t>
            </w:r>
          </w:p>
        </w:tc>
      </w:tr>
      <w:tr w14:paraId="498B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7FE1906C">
            <w:pPr>
              <w:snapToGrid w:val="0"/>
              <w:jc w:val="center"/>
              <w:rPr>
                <w:rFonts w:hint="default" w:ascii="Times New Roman" w:hAnsi="Times New Roman" w:eastAsia="仿宋" w:cs="Times New Roman"/>
                <w:b/>
                <w:bCs/>
              </w:rPr>
            </w:pPr>
          </w:p>
        </w:tc>
        <w:tc>
          <w:tcPr>
            <w:tcW w:w="7220" w:type="dxa"/>
            <w:gridSpan w:val="3"/>
            <w:vAlign w:val="center"/>
          </w:tcPr>
          <w:p w14:paraId="1C5671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color w:val="000000"/>
                <w:sz w:val="21"/>
                <w:szCs w:val="21"/>
              </w:rPr>
            </w:pPr>
            <w:r>
              <w:rPr>
                <w:rFonts w:hint="default" w:ascii="Times New Roman" w:hAnsi="Times New Roman" w:cs="Times New Roman"/>
              </w:rPr>
              <w:t xml:space="preserve">中国科学院南海海洋研究所，中国科学院南海海洋研究所三亚中科海洋研究院. 风暴诱发陆架沉积物悬浮可视化评估的数值模拟软件 V1.0. 计算机软件著作权，登记号：2022SR0520061，登记日期：2022-04-25. </w:t>
            </w:r>
          </w:p>
        </w:tc>
      </w:tr>
      <w:tr w14:paraId="6E6C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1ED9C9C7">
            <w:pPr>
              <w:snapToGrid w:val="0"/>
              <w:jc w:val="center"/>
              <w:rPr>
                <w:rFonts w:hint="default" w:ascii="Times New Roman" w:hAnsi="Times New Roman" w:eastAsia="仿宋" w:cs="Times New Roman"/>
                <w:b/>
                <w:bCs/>
              </w:rPr>
            </w:pPr>
          </w:p>
        </w:tc>
        <w:tc>
          <w:tcPr>
            <w:tcW w:w="7220" w:type="dxa"/>
            <w:gridSpan w:val="3"/>
            <w:vAlign w:val="center"/>
          </w:tcPr>
          <w:p w14:paraId="4CF0BE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Symbol" w:cs="Times New Roman"/>
                <w:sz w:val="24"/>
              </w:rPr>
            </w:pPr>
            <w:r>
              <w:rPr>
                <w:rFonts w:hint="default" w:ascii="Times New Roman" w:hAnsi="Times New Roman" w:cs="Times New Roman"/>
              </w:rPr>
              <w:t xml:space="preserve">中国科学院南海海洋研究所. 南海珊瑚礁健康状态垂直剖面智能分析软件 V1.0. 计算机软件著作权，登记号：2024SR0697137，登记日期：2024-05-22. </w:t>
            </w:r>
          </w:p>
        </w:tc>
      </w:tr>
      <w:tr w14:paraId="4AF2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1E44E35B">
            <w:pPr>
              <w:snapToGrid w:val="0"/>
              <w:jc w:val="center"/>
              <w:rPr>
                <w:rFonts w:hint="default" w:ascii="Times New Roman" w:hAnsi="Times New Roman" w:eastAsia="仿宋" w:cs="Times New Roman"/>
                <w:b/>
                <w:bCs/>
              </w:rPr>
            </w:pPr>
          </w:p>
        </w:tc>
        <w:tc>
          <w:tcPr>
            <w:tcW w:w="7220" w:type="dxa"/>
            <w:gridSpan w:val="3"/>
            <w:vAlign w:val="center"/>
          </w:tcPr>
          <w:p w14:paraId="6C7AE1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Symbol" w:cs="Times New Roman"/>
                <w:sz w:val="24"/>
              </w:rPr>
            </w:pPr>
            <w:r>
              <w:rPr>
                <w:rFonts w:hint="default" w:ascii="Times New Roman" w:hAnsi="Times New Roman" w:cs="Times New Roman"/>
              </w:rPr>
              <w:t xml:space="preserve">中国科学院南海海洋研究所. 一种基于遥感影像的海岸线自主提取及岸线增减特征智能分析软件 V1.0. 计算机软件著作权，登记号：2024SR0697139，登记日期：2024-05-22. </w:t>
            </w:r>
          </w:p>
        </w:tc>
      </w:tr>
      <w:tr w14:paraId="2C56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44" w:type="dxa"/>
            <w:vMerge w:val="continue"/>
            <w:vAlign w:val="center"/>
          </w:tcPr>
          <w:p w14:paraId="335BCE45">
            <w:pPr>
              <w:snapToGrid w:val="0"/>
              <w:jc w:val="center"/>
              <w:rPr>
                <w:rFonts w:hint="default" w:ascii="Times New Roman" w:hAnsi="Times New Roman" w:eastAsia="仿宋" w:cs="Times New Roman"/>
                <w:b/>
                <w:bCs/>
              </w:rPr>
            </w:pPr>
          </w:p>
        </w:tc>
        <w:tc>
          <w:tcPr>
            <w:tcW w:w="7220" w:type="dxa"/>
            <w:gridSpan w:val="3"/>
            <w:vAlign w:val="center"/>
          </w:tcPr>
          <w:p w14:paraId="29B155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Symbol" w:cs="Times New Roman"/>
                <w:sz w:val="24"/>
              </w:rPr>
            </w:pPr>
            <w:r>
              <w:rPr>
                <w:rFonts w:hint="default" w:ascii="Times New Roman" w:hAnsi="Times New Roman" w:cs="Times New Roman"/>
              </w:rPr>
              <w:t>中国科学院南海海洋研究所. 水合物富集区海底稳定性安全系数智能分析软件 V1.0. 计算机软件著作权，登记号：2024SR1393418，登记日期：2024-09-19.</w:t>
            </w:r>
          </w:p>
        </w:tc>
      </w:tr>
    </w:tbl>
    <w:p w14:paraId="5EBF69E5">
      <w:pPr>
        <w:widowControl/>
        <w:jc w:val="left"/>
        <w:rPr>
          <w:rFonts w:ascii="仿宋" w:hAnsi="仿宋" w:eastAsia="仿宋" w:cs="Times New Roman"/>
          <w:sz w:val="32"/>
          <w:szCs w:val="32"/>
        </w:rPr>
      </w:pPr>
    </w:p>
    <w:sectPr>
      <w:footerReference r:id="rId3" w:type="default"/>
      <w:pgSz w:w="11906" w:h="16838"/>
      <w:pgMar w:top="1985" w:right="1134" w:bottom="1440" w:left="1701"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E5899">
    <w:pPr>
      <w:pStyle w:val="7"/>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384175"/>
              <wp:effectExtent l="0" t="0" r="0" b="952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4035" cy="384175"/>
                      </a:xfrm>
                      <a:prstGeom prst="rect">
                        <a:avLst/>
                      </a:prstGeom>
                      <a:noFill/>
                      <a:ln>
                        <a:noFill/>
                      </a:ln>
                    </wps:spPr>
                    <wps:txbx>
                      <w:txbxContent>
                        <w:p w14:paraId="3FFFC0D3">
                          <w:pPr>
                            <w:pStyle w:val="7"/>
                            <w:rPr>
                              <w:rStyle w:val="14"/>
                              <w:rFonts w:ascii="宋体" w:hAnsi="宋体" w:cs="宋体"/>
                              <w:sz w:val="28"/>
                              <w:szCs w:val="28"/>
                            </w:rPr>
                          </w:pPr>
                          <w:r>
                            <w:rPr>
                              <w:rFonts w:hint="eastAsia" w:ascii="宋体" w:hAnsi="宋体" w:cs="宋体"/>
                              <w:sz w:val="28"/>
                              <w:szCs w:val="28"/>
                            </w:rPr>
                            <w:fldChar w:fldCharType="begin"/>
                          </w:r>
                          <w:r>
                            <w:rPr>
                              <w:rStyle w:val="14"/>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4"/>
                              <w:rFonts w:ascii="宋体" w:hAnsi="宋体" w:cs="宋体"/>
                              <w:sz w:val="28"/>
                              <w:szCs w:val="28"/>
                            </w:rPr>
                            <w:t>- 1 -</w:t>
                          </w:r>
                          <w:r>
                            <w:rPr>
                              <w:rFonts w:hint="eastAsia" w:ascii="宋体" w:hAnsi="宋体" w:cs="宋体"/>
                              <w:sz w:val="28"/>
                              <w:szCs w:val="28"/>
                            </w:rPr>
                            <w:fldChar w:fldCharType="end"/>
                          </w:r>
                        </w:p>
                        <w:p w14:paraId="05BE8CF5"/>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30.25pt;width:42.05pt;mso-position-horizontal:outside;mso-position-horizontal-relative:margin;mso-wrap-style:none;z-index:251659264;mso-width-relative:page;mso-height-relative:page;" filled="f" stroked="f" coordsize="21600,21600" o:gfxdata="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eQ6dEAAAADAQAADwAAAAAAAAABACAAAAAiAAAAZHJz&#10;L2Rvd25yZXYueG1sUEsBAhQAFAAAAAgAh07iQL3oI0ILAgAAAgQAAA4AAAAAAAAAAQAgAAAAIAEA&#10;AGRycy9lMm9Eb2MueG1sUEsFBgAAAAAGAAYAWQEAAJ0FAAAAAA==&#10;">
              <v:fill on="f" focussize="0,0"/>
              <v:stroke on="f"/>
              <v:imagedata o:title=""/>
              <o:lock v:ext="edit" aspectratio="f"/>
              <v:textbox inset="0mm,0mm,0mm,0mm" style="mso-fit-shape-to-text:t;">
                <w:txbxContent>
                  <w:p w14:paraId="3FFFC0D3">
                    <w:pPr>
                      <w:pStyle w:val="7"/>
                      <w:rPr>
                        <w:rStyle w:val="14"/>
                        <w:rFonts w:ascii="宋体" w:hAnsi="宋体" w:cs="宋体"/>
                        <w:sz w:val="28"/>
                        <w:szCs w:val="28"/>
                      </w:rPr>
                    </w:pPr>
                    <w:r>
                      <w:rPr>
                        <w:rFonts w:hint="eastAsia" w:ascii="宋体" w:hAnsi="宋体" w:cs="宋体"/>
                        <w:sz w:val="28"/>
                        <w:szCs w:val="28"/>
                      </w:rPr>
                      <w:fldChar w:fldCharType="begin"/>
                    </w:r>
                    <w:r>
                      <w:rPr>
                        <w:rStyle w:val="14"/>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4"/>
                        <w:rFonts w:ascii="宋体" w:hAnsi="宋体" w:cs="宋体"/>
                        <w:sz w:val="28"/>
                        <w:szCs w:val="28"/>
                      </w:rPr>
                      <w:t>- 1 -</w:t>
                    </w:r>
                    <w:r>
                      <w:rPr>
                        <w:rFonts w:hint="eastAsia" w:ascii="宋体" w:hAnsi="宋体" w:cs="宋体"/>
                        <w:sz w:val="28"/>
                        <w:szCs w:val="28"/>
                      </w:rPr>
                      <w:fldChar w:fldCharType="end"/>
                    </w:r>
                  </w:p>
                  <w:p w14:paraId="05BE8CF5"/>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95A"/>
    <w:rsid w:val="00003708"/>
    <w:rsid w:val="00036537"/>
    <w:rsid w:val="00080269"/>
    <w:rsid w:val="000959FC"/>
    <w:rsid w:val="00095A71"/>
    <w:rsid w:val="000B1C55"/>
    <w:rsid w:val="000C2908"/>
    <w:rsid w:val="000C2D2F"/>
    <w:rsid w:val="000D0155"/>
    <w:rsid w:val="000E5230"/>
    <w:rsid w:val="000E5B9A"/>
    <w:rsid w:val="000E640E"/>
    <w:rsid w:val="000F02CD"/>
    <w:rsid w:val="000F1EF7"/>
    <w:rsid w:val="001000CF"/>
    <w:rsid w:val="001023DA"/>
    <w:rsid w:val="00105906"/>
    <w:rsid w:val="00122C7E"/>
    <w:rsid w:val="001240B6"/>
    <w:rsid w:val="001241D6"/>
    <w:rsid w:val="001342E5"/>
    <w:rsid w:val="00145C70"/>
    <w:rsid w:val="00155455"/>
    <w:rsid w:val="001605A3"/>
    <w:rsid w:val="001749C9"/>
    <w:rsid w:val="001A2255"/>
    <w:rsid w:val="001C4FF0"/>
    <w:rsid w:val="001E5C71"/>
    <w:rsid w:val="001F4357"/>
    <w:rsid w:val="00225FBE"/>
    <w:rsid w:val="00232232"/>
    <w:rsid w:val="00271925"/>
    <w:rsid w:val="0027498D"/>
    <w:rsid w:val="002A1895"/>
    <w:rsid w:val="002A7752"/>
    <w:rsid w:val="002B2EE9"/>
    <w:rsid w:val="002B55AD"/>
    <w:rsid w:val="002C7984"/>
    <w:rsid w:val="002D495A"/>
    <w:rsid w:val="002D5360"/>
    <w:rsid w:val="002D5421"/>
    <w:rsid w:val="002E11FC"/>
    <w:rsid w:val="002F2BA0"/>
    <w:rsid w:val="002F2E35"/>
    <w:rsid w:val="002F4BBF"/>
    <w:rsid w:val="0030207A"/>
    <w:rsid w:val="00304317"/>
    <w:rsid w:val="00324B95"/>
    <w:rsid w:val="00335243"/>
    <w:rsid w:val="00335CF6"/>
    <w:rsid w:val="003543E2"/>
    <w:rsid w:val="00355235"/>
    <w:rsid w:val="003618CB"/>
    <w:rsid w:val="00363B58"/>
    <w:rsid w:val="00363E73"/>
    <w:rsid w:val="003650B7"/>
    <w:rsid w:val="003A7B7F"/>
    <w:rsid w:val="003B1236"/>
    <w:rsid w:val="003C2D63"/>
    <w:rsid w:val="003D2823"/>
    <w:rsid w:val="0040006E"/>
    <w:rsid w:val="00405E74"/>
    <w:rsid w:val="0041300E"/>
    <w:rsid w:val="00424599"/>
    <w:rsid w:val="00424827"/>
    <w:rsid w:val="00430699"/>
    <w:rsid w:val="00431E48"/>
    <w:rsid w:val="00433CBE"/>
    <w:rsid w:val="00433E57"/>
    <w:rsid w:val="0044494F"/>
    <w:rsid w:val="00460169"/>
    <w:rsid w:val="00463562"/>
    <w:rsid w:val="00482F98"/>
    <w:rsid w:val="00496B4B"/>
    <w:rsid w:val="004A648A"/>
    <w:rsid w:val="004E7888"/>
    <w:rsid w:val="004F4CBD"/>
    <w:rsid w:val="005039CE"/>
    <w:rsid w:val="00511A13"/>
    <w:rsid w:val="00553AB5"/>
    <w:rsid w:val="00587609"/>
    <w:rsid w:val="0059566B"/>
    <w:rsid w:val="005D431C"/>
    <w:rsid w:val="005E415D"/>
    <w:rsid w:val="005F682D"/>
    <w:rsid w:val="00615181"/>
    <w:rsid w:val="006300A7"/>
    <w:rsid w:val="00632731"/>
    <w:rsid w:val="00644642"/>
    <w:rsid w:val="00655D5D"/>
    <w:rsid w:val="00664CFA"/>
    <w:rsid w:val="0067381B"/>
    <w:rsid w:val="00681E39"/>
    <w:rsid w:val="006A0A3B"/>
    <w:rsid w:val="006B2D1F"/>
    <w:rsid w:val="006E424B"/>
    <w:rsid w:val="007006CB"/>
    <w:rsid w:val="0070314F"/>
    <w:rsid w:val="0070359F"/>
    <w:rsid w:val="00737507"/>
    <w:rsid w:val="007440BD"/>
    <w:rsid w:val="00745B07"/>
    <w:rsid w:val="00750A5F"/>
    <w:rsid w:val="00760129"/>
    <w:rsid w:val="00764E0E"/>
    <w:rsid w:val="00771B00"/>
    <w:rsid w:val="007A3F49"/>
    <w:rsid w:val="007C3F02"/>
    <w:rsid w:val="00833442"/>
    <w:rsid w:val="00855137"/>
    <w:rsid w:val="00862230"/>
    <w:rsid w:val="00867DDF"/>
    <w:rsid w:val="008C4D62"/>
    <w:rsid w:val="008E103B"/>
    <w:rsid w:val="008E2821"/>
    <w:rsid w:val="008E51C8"/>
    <w:rsid w:val="008E5FBB"/>
    <w:rsid w:val="008E62F7"/>
    <w:rsid w:val="009008EC"/>
    <w:rsid w:val="0090784A"/>
    <w:rsid w:val="00917134"/>
    <w:rsid w:val="009244BA"/>
    <w:rsid w:val="00971049"/>
    <w:rsid w:val="009A152B"/>
    <w:rsid w:val="009A5C88"/>
    <w:rsid w:val="009A7D7D"/>
    <w:rsid w:val="009D17A3"/>
    <w:rsid w:val="009D2684"/>
    <w:rsid w:val="00A02EA1"/>
    <w:rsid w:val="00A03867"/>
    <w:rsid w:val="00A1386F"/>
    <w:rsid w:val="00A252D5"/>
    <w:rsid w:val="00A274C7"/>
    <w:rsid w:val="00A33ECC"/>
    <w:rsid w:val="00A57C25"/>
    <w:rsid w:val="00A633AF"/>
    <w:rsid w:val="00A65E1C"/>
    <w:rsid w:val="00A678D4"/>
    <w:rsid w:val="00A67E32"/>
    <w:rsid w:val="00A97562"/>
    <w:rsid w:val="00AC170F"/>
    <w:rsid w:val="00AD2762"/>
    <w:rsid w:val="00B0275B"/>
    <w:rsid w:val="00B240A2"/>
    <w:rsid w:val="00B272A4"/>
    <w:rsid w:val="00B42C5A"/>
    <w:rsid w:val="00B51B49"/>
    <w:rsid w:val="00B552F0"/>
    <w:rsid w:val="00B635BB"/>
    <w:rsid w:val="00B74063"/>
    <w:rsid w:val="00BB0B3C"/>
    <w:rsid w:val="00BE1749"/>
    <w:rsid w:val="00C01722"/>
    <w:rsid w:val="00C1503B"/>
    <w:rsid w:val="00C20356"/>
    <w:rsid w:val="00C257C6"/>
    <w:rsid w:val="00C32665"/>
    <w:rsid w:val="00C44DFC"/>
    <w:rsid w:val="00C53039"/>
    <w:rsid w:val="00C55FF8"/>
    <w:rsid w:val="00C57970"/>
    <w:rsid w:val="00C73ADE"/>
    <w:rsid w:val="00C75EAA"/>
    <w:rsid w:val="00C820B6"/>
    <w:rsid w:val="00C843BC"/>
    <w:rsid w:val="00CB39F1"/>
    <w:rsid w:val="00CB5904"/>
    <w:rsid w:val="00CC7207"/>
    <w:rsid w:val="00CD164C"/>
    <w:rsid w:val="00CD72C8"/>
    <w:rsid w:val="00CE1A19"/>
    <w:rsid w:val="00CE2CC4"/>
    <w:rsid w:val="00CF5837"/>
    <w:rsid w:val="00CF7CE1"/>
    <w:rsid w:val="00D26ED4"/>
    <w:rsid w:val="00D355DD"/>
    <w:rsid w:val="00D45130"/>
    <w:rsid w:val="00D62384"/>
    <w:rsid w:val="00D751DA"/>
    <w:rsid w:val="00D87781"/>
    <w:rsid w:val="00DD3ED9"/>
    <w:rsid w:val="00DD6041"/>
    <w:rsid w:val="00DE359E"/>
    <w:rsid w:val="00DF639F"/>
    <w:rsid w:val="00E05A72"/>
    <w:rsid w:val="00E14A76"/>
    <w:rsid w:val="00E30997"/>
    <w:rsid w:val="00E31DE2"/>
    <w:rsid w:val="00E32327"/>
    <w:rsid w:val="00E4298F"/>
    <w:rsid w:val="00E53BB5"/>
    <w:rsid w:val="00E67C35"/>
    <w:rsid w:val="00E720A6"/>
    <w:rsid w:val="00E872E7"/>
    <w:rsid w:val="00EE0600"/>
    <w:rsid w:val="00EF6A6C"/>
    <w:rsid w:val="00F22718"/>
    <w:rsid w:val="00F25AED"/>
    <w:rsid w:val="00F3258A"/>
    <w:rsid w:val="00F356EB"/>
    <w:rsid w:val="00F37536"/>
    <w:rsid w:val="00F44EAC"/>
    <w:rsid w:val="00F476D9"/>
    <w:rsid w:val="00F61182"/>
    <w:rsid w:val="00F95726"/>
    <w:rsid w:val="00F95AF7"/>
    <w:rsid w:val="00FB5165"/>
    <w:rsid w:val="00FE2312"/>
    <w:rsid w:val="00FF373A"/>
    <w:rsid w:val="01A2719B"/>
    <w:rsid w:val="01EE19B6"/>
    <w:rsid w:val="02FE3E7B"/>
    <w:rsid w:val="067D3568"/>
    <w:rsid w:val="0C410005"/>
    <w:rsid w:val="0CFD3DAC"/>
    <w:rsid w:val="0D562B05"/>
    <w:rsid w:val="0F882CC5"/>
    <w:rsid w:val="102978DA"/>
    <w:rsid w:val="10392996"/>
    <w:rsid w:val="10D426BF"/>
    <w:rsid w:val="11B37495"/>
    <w:rsid w:val="144D471F"/>
    <w:rsid w:val="15D1675A"/>
    <w:rsid w:val="16291196"/>
    <w:rsid w:val="16CE195E"/>
    <w:rsid w:val="17B172B6"/>
    <w:rsid w:val="182932F0"/>
    <w:rsid w:val="18CD45C3"/>
    <w:rsid w:val="1C316C17"/>
    <w:rsid w:val="1C545906"/>
    <w:rsid w:val="1C647A98"/>
    <w:rsid w:val="1C8B0931"/>
    <w:rsid w:val="1C907DE2"/>
    <w:rsid w:val="1D4F1A4B"/>
    <w:rsid w:val="1ECB5A32"/>
    <w:rsid w:val="200C1BB5"/>
    <w:rsid w:val="2197632B"/>
    <w:rsid w:val="22D64075"/>
    <w:rsid w:val="267918E7"/>
    <w:rsid w:val="27B0758A"/>
    <w:rsid w:val="29345F99"/>
    <w:rsid w:val="296F5223"/>
    <w:rsid w:val="2A56167D"/>
    <w:rsid w:val="2B497878"/>
    <w:rsid w:val="2D485B6F"/>
    <w:rsid w:val="31314909"/>
    <w:rsid w:val="32A25D21"/>
    <w:rsid w:val="33D72A06"/>
    <w:rsid w:val="35ED3757"/>
    <w:rsid w:val="36985DB9"/>
    <w:rsid w:val="36C24BE4"/>
    <w:rsid w:val="36E4329A"/>
    <w:rsid w:val="38284F1B"/>
    <w:rsid w:val="395761B5"/>
    <w:rsid w:val="3A377697"/>
    <w:rsid w:val="3BB86349"/>
    <w:rsid w:val="3F273AD2"/>
    <w:rsid w:val="3F36616F"/>
    <w:rsid w:val="40210BCD"/>
    <w:rsid w:val="41605725"/>
    <w:rsid w:val="41BB0BAE"/>
    <w:rsid w:val="42E1767C"/>
    <w:rsid w:val="43770B04"/>
    <w:rsid w:val="467D3FE1"/>
    <w:rsid w:val="48223734"/>
    <w:rsid w:val="4A2F50C6"/>
    <w:rsid w:val="4A90723B"/>
    <w:rsid w:val="4C4E2FA9"/>
    <w:rsid w:val="4D075A3B"/>
    <w:rsid w:val="4E2F5E56"/>
    <w:rsid w:val="4E6332C9"/>
    <w:rsid w:val="4E691824"/>
    <w:rsid w:val="4EB92CBE"/>
    <w:rsid w:val="4FA9473B"/>
    <w:rsid w:val="507A1C34"/>
    <w:rsid w:val="50FE4613"/>
    <w:rsid w:val="53DD5B43"/>
    <w:rsid w:val="54660E4D"/>
    <w:rsid w:val="55180399"/>
    <w:rsid w:val="56AA3947"/>
    <w:rsid w:val="59422044"/>
    <w:rsid w:val="59E7056D"/>
    <w:rsid w:val="5A572253"/>
    <w:rsid w:val="5BB823D4"/>
    <w:rsid w:val="5D1274D3"/>
    <w:rsid w:val="5F675A73"/>
    <w:rsid w:val="5FBE6256"/>
    <w:rsid w:val="60F375C4"/>
    <w:rsid w:val="61151C31"/>
    <w:rsid w:val="615E4969"/>
    <w:rsid w:val="61C6117D"/>
    <w:rsid w:val="66BD361A"/>
    <w:rsid w:val="67C12384"/>
    <w:rsid w:val="68D0468F"/>
    <w:rsid w:val="6A9E130D"/>
    <w:rsid w:val="6B6F4633"/>
    <w:rsid w:val="6BE10EA5"/>
    <w:rsid w:val="71E116BB"/>
    <w:rsid w:val="73F47D90"/>
    <w:rsid w:val="74280E7C"/>
    <w:rsid w:val="75C4732A"/>
    <w:rsid w:val="75EA0A8D"/>
    <w:rsid w:val="78774B27"/>
    <w:rsid w:val="793D367B"/>
    <w:rsid w:val="7AC27055"/>
    <w:rsid w:val="7C6F7FEF"/>
    <w:rsid w:val="7D0128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0"/>
    <w:pPr>
      <w:keepNext/>
      <w:jc w:val="center"/>
      <w:outlineLvl w:val="0"/>
    </w:pPr>
    <w:rPr>
      <w:rFonts w:ascii="仿宋_GB2312" w:hAnsi="Times New Roman" w:eastAsia="仿宋_GB2312" w:cs="Times New Roman"/>
      <w:kern w:val="0"/>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9"/>
    <w:unhideWhenUsed/>
    <w:qFormat/>
    <w:uiPriority w:val="99"/>
    <w:pPr>
      <w:jc w:val="left"/>
    </w:pPr>
  </w:style>
  <w:style w:type="paragraph" w:styleId="4">
    <w:name w:val="Plain Text"/>
    <w:basedOn w:val="1"/>
    <w:link w:val="33"/>
    <w:qFormat/>
    <w:uiPriority w:val="0"/>
    <w:pPr>
      <w:spacing w:line="360" w:lineRule="auto"/>
      <w:ind w:firstLine="480" w:firstLineChars="200"/>
    </w:pPr>
    <w:rPr>
      <w:rFonts w:ascii="仿宋_GB2312" w:hAnsi="Times New Roman" w:eastAsia="宋体" w:cs="Times New Roman"/>
      <w:sz w:val="24"/>
      <w:szCs w:val="24"/>
    </w:rPr>
  </w:style>
  <w:style w:type="paragraph" w:styleId="5">
    <w:name w:val="Date"/>
    <w:basedOn w:val="1"/>
    <w:next w:val="1"/>
    <w:link w:val="20"/>
    <w:semiHidden/>
    <w:unhideWhenUsed/>
    <w:qFormat/>
    <w:uiPriority w:val="99"/>
    <w:pPr>
      <w:ind w:left="100" w:leftChars="2500"/>
    </w:pPr>
  </w:style>
  <w:style w:type="paragraph" w:styleId="6">
    <w:name w:val="Balloon Text"/>
    <w:basedOn w:val="1"/>
    <w:link w:val="26"/>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3"/>
    <w:next w:val="3"/>
    <w:link w:val="22"/>
    <w:unhideWhenUsed/>
    <w:qFormat/>
    <w:uiPriority w:val="99"/>
    <w:rPr>
      <w:b/>
      <w:bCs/>
      <w:szCs w:val="24"/>
    </w:rPr>
  </w:style>
  <w:style w:type="table" w:styleId="12">
    <w:name w:val="Table Grid"/>
    <w:basedOn w:val="11"/>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Emphasis"/>
    <w:basedOn w:val="13"/>
    <w:qFormat/>
    <w:uiPriority w:val="20"/>
    <w:rPr>
      <w:i/>
    </w:rPr>
  </w:style>
  <w:style w:type="character" w:styleId="16">
    <w:name w:val="Hyperlink"/>
    <w:basedOn w:val="13"/>
    <w:unhideWhenUsed/>
    <w:qFormat/>
    <w:uiPriority w:val="99"/>
    <w:rPr>
      <w:color w:val="0000FF" w:themeColor="hyperlink"/>
      <w:u w:val="single"/>
      <w14:textFill>
        <w14:solidFill>
          <w14:schemeClr w14:val="hlink"/>
        </w14:solidFill>
      </w14:textFill>
    </w:rPr>
  </w:style>
  <w:style w:type="character" w:styleId="17">
    <w:name w:val="annotation reference"/>
    <w:unhideWhenUsed/>
    <w:qFormat/>
    <w:uiPriority w:val="99"/>
    <w:rPr>
      <w:sz w:val="21"/>
      <w:szCs w:val="21"/>
    </w:rPr>
  </w:style>
  <w:style w:type="character" w:customStyle="1" w:styleId="18">
    <w:name w:val="页眉 Char"/>
    <w:basedOn w:val="13"/>
    <w:link w:val="8"/>
    <w:qFormat/>
    <w:uiPriority w:val="99"/>
    <w:rPr>
      <w:sz w:val="18"/>
      <w:szCs w:val="18"/>
    </w:rPr>
  </w:style>
  <w:style w:type="character" w:customStyle="1" w:styleId="19">
    <w:name w:val="页脚 Char"/>
    <w:basedOn w:val="13"/>
    <w:link w:val="7"/>
    <w:qFormat/>
    <w:uiPriority w:val="99"/>
    <w:rPr>
      <w:sz w:val="18"/>
      <w:szCs w:val="18"/>
    </w:rPr>
  </w:style>
  <w:style w:type="character" w:customStyle="1" w:styleId="20">
    <w:name w:val="日期 Char"/>
    <w:basedOn w:val="13"/>
    <w:link w:val="5"/>
    <w:qFormat/>
    <w:uiPriority w:val="0"/>
  </w:style>
  <w:style w:type="character" w:customStyle="1" w:styleId="21">
    <w:name w:val="标题 1 Char"/>
    <w:basedOn w:val="13"/>
    <w:qFormat/>
    <w:uiPriority w:val="9"/>
    <w:rPr>
      <w:b/>
      <w:bCs/>
      <w:kern w:val="44"/>
      <w:sz w:val="44"/>
      <w:szCs w:val="44"/>
    </w:rPr>
  </w:style>
  <w:style w:type="character" w:customStyle="1" w:styleId="22">
    <w:name w:val="批注主题 Char1"/>
    <w:link w:val="10"/>
    <w:qFormat/>
    <w:uiPriority w:val="99"/>
    <w:rPr>
      <w:b/>
      <w:bCs/>
      <w:szCs w:val="24"/>
    </w:rPr>
  </w:style>
  <w:style w:type="character" w:customStyle="1" w:styleId="23">
    <w:name w:val="页眉 字符"/>
    <w:qFormat/>
    <w:uiPriority w:val="0"/>
    <w:rPr>
      <w:sz w:val="18"/>
      <w:szCs w:val="18"/>
    </w:rPr>
  </w:style>
  <w:style w:type="character" w:customStyle="1" w:styleId="24">
    <w:name w:val="页脚 字符"/>
    <w:qFormat/>
    <w:uiPriority w:val="99"/>
    <w:rPr>
      <w:sz w:val="18"/>
      <w:szCs w:val="18"/>
    </w:rPr>
  </w:style>
  <w:style w:type="character" w:customStyle="1" w:styleId="25">
    <w:name w:val="标题 1 Char1"/>
    <w:link w:val="2"/>
    <w:qFormat/>
    <w:uiPriority w:val="0"/>
    <w:rPr>
      <w:rFonts w:ascii="仿宋_GB2312" w:hAnsi="Times New Roman" w:eastAsia="仿宋_GB2312" w:cs="Times New Roman"/>
      <w:kern w:val="0"/>
      <w:sz w:val="28"/>
      <w:szCs w:val="20"/>
    </w:rPr>
  </w:style>
  <w:style w:type="character" w:customStyle="1" w:styleId="26">
    <w:name w:val="批注框文本 Char1"/>
    <w:link w:val="6"/>
    <w:qFormat/>
    <w:uiPriority w:val="99"/>
    <w:rPr>
      <w:sz w:val="18"/>
      <w:szCs w:val="18"/>
    </w:rPr>
  </w:style>
  <w:style w:type="character" w:customStyle="1" w:styleId="27">
    <w:name w:val="批注文字 字符"/>
    <w:semiHidden/>
    <w:qFormat/>
    <w:uiPriority w:val="99"/>
    <w:rPr>
      <w:kern w:val="2"/>
      <w:sz w:val="21"/>
      <w:szCs w:val="24"/>
    </w:rPr>
  </w:style>
  <w:style w:type="character" w:customStyle="1" w:styleId="28">
    <w:name w:val="font11"/>
    <w:qFormat/>
    <w:uiPriority w:val="0"/>
    <w:rPr>
      <w:rFonts w:hint="eastAsia" w:ascii="宋体" w:hAnsi="宋体" w:eastAsia="宋体" w:cs="宋体"/>
      <w:b/>
      <w:color w:val="000000"/>
      <w:sz w:val="32"/>
      <w:szCs w:val="32"/>
      <w:u w:val="none"/>
    </w:rPr>
  </w:style>
  <w:style w:type="character" w:customStyle="1" w:styleId="29">
    <w:name w:val="批注文字 Char"/>
    <w:basedOn w:val="13"/>
    <w:link w:val="3"/>
    <w:semiHidden/>
    <w:qFormat/>
    <w:uiPriority w:val="99"/>
  </w:style>
  <w:style w:type="character" w:customStyle="1" w:styleId="30">
    <w:name w:val="批注主题 Char"/>
    <w:basedOn w:val="29"/>
    <w:semiHidden/>
    <w:qFormat/>
    <w:uiPriority w:val="99"/>
    <w:rPr>
      <w:b/>
      <w:bCs/>
    </w:rPr>
  </w:style>
  <w:style w:type="character" w:customStyle="1" w:styleId="31">
    <w:name w:val="批注框文本 Char"/>
    <w:basedOn w:val="13"/>
    <w:semiHidden/>
    <w:qFormat/>
    <w:uiPriority w:val="99"/>
    <w:rPr>
      <w:sz w:val="18"/>
      <w:szCs w:val="18"/>
    </w:rPr>
  </w:style>
  <w:style w:type="paragraph" w:customStyle="1" w:styleId="32">
    <w:name w:val="日期1"/>
    <w:basedOn w:val="1"/>
    <w:next w:val="1"/>
    <w:qFormat/>
    <w:uiPriority w:val="0"/>
    <w:pPr>
      <w:ind w:left="100" w:leftChars="2500"/>
    </w:pPr>
    <w:rPr>
      <w:rFonts w:ascii="Times New Roman" w:hAnsi="Times New Roman" w:eastAsia="宋体" w:cs="Times New Roman"/>
      <w:szCs w:val="24"/>
    </w:rPr>
  </w:style>
  <w:style w:type="character" w:customStyle="1" w:styleId="33">
    <w:name w:val="纯文本 Char"/>
    <w:basedOn w:val="13"/>
    <w:link w:val="4"/>
    <w:qFormat/>
    <w:uiPriority w:val="0"/>
    <w:rPr>
      <w:rFonts w:ascii="仿宋_GB2312" w:hAnsi="Times New Roman" w:eastAsia="宋体" w:cs="Times New Roman"/>
      <w:sz w:val="24"/>
      <w:szCs w:val="24"/>
    </w:rPr>
  </w:style>
  <w:style w:type="paragraph" w:customStyle="1" w:styleId="34">
    <w:name w:val="Char"/>
    <w:basedOn w:val="1"/>
    <w:qFormat/>
    <w:uiPriority w:val="0"/>
    <w:pPr>
      <w:tabs>
        <w:tab w:val="left" w:pos="425"/>
      </w:tabs>
      <w:ind w:left="425" w:hanging="425"/>
    </w:pPr>
    <w:rPr>
      <w:rFonts w:ascii="Times New Roman" w:hAnsi="Times New Roman" w:eastAsia="宋体" w:cs="Times New Roman"/>
      <w:szCs w:val="24"/>
    </w:rPr>
  </w:style>
  <w:style w:type="paragraph" w:customStyle="1" w:styleId="35">
    <w:name w:val="列出段落1"/>
    <w:basedOn w:val="1"/>
    <w:qFormat/>
    <w:uiPriority w:val="0"/>
    <w:pPr>
      <w:ind w:firstLine="420" w:firstLineChars="200"/>
    </w:pPr>
    <w:rPr>
      <w:rFonts w:ascii="Calibri" w:hAnsi="Calibri" w:eastAsia="宋体" w:cs="Times New Roman"/>
    </w:rPr>
  </w:style>
  <w:style w:type="paragraph" w:styleId="36">
    <w:name w:val="List Paragraph"/>
    <w:basedOn w:val="1"/>
    <w:qFormat/>
    <w:uiPriority w:val="34"/>
    <w:pPr>
      <w:ind w:firstLine="420" w:firstLineChars="200"/>
    </w:pPr>
  </w:style>
  <w:style w:type="paragraph" w:customStyle="1" w:styleId="37">
    <w:name w:val="olistparagraph"/>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customStyle="1" w:styleId="38">
    <w:name w:val="onormal"/>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customStyle="1" w:styleId="39">
    <w:name w:val="纯文本 Char1"/>
    <w:qFormat/>
    <w:locked/>
    <w:uiPriority w:val="0"/>
    <w:rPr>
      <w:rFonts w:hint="eastAsia" w:ascii="仿宋_GB2312" w:hAnsi="Calibri" w:eastAsia="仿宋_GB2312"/>
      <w:kern w:val="2"/>
      <w:sz w:val="24"/>
      <w:szCs w:val="24"/>
    </w:rPr>
  </w:style>
  <w:style w:type="paragraph" w:customStyle="1" w:styleId="40">
    <w:name w:val="sonormal"/>
    <w:basedOn w:val="1"/>
    <w:qFormat/>
    <w:uiPriority w:val="0"/>
    <w:pPr>
      <w:spacing w:before="100" w:beforeAutospacing="1" w:after="100" w:afterAutospacing="1"/>
      <w:jc w:val="left"/>
    </w:pPr>
    <w:rPr>
      <w:rFonts w:ascii="Calibri" w:hAnsi="Calibri" w:eastAsia="宋体" w:cs="Times New Roman"/>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hps</Company>
  <Pages>5</Pages>
  <Words>4259</Words>
  <Characters>5965</Characters>
  <Lines>16</Lines>
  <Paragraphs>4</Paragraphs>
  <TotalTime>72</TotalTime>
  <ScaleCrop>false</ScaleCrop>
  <LinksUpToDate>false</LinksUpToDate>
  <CharactersWithSpaces>6299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2024-05-21T06:29:00Z</dcterms:created>
  <dc:creator>宋莎莎</dc:creator>
  <cp:lastModifiedBy>欣于所遇</cp:lastModifiedBy>
  <cp:lastPrinted>2023-02-16T02:21:00Z</cp:lastPrinted>
  <dcterms:modified xsi:type="dcterms:W3CDTF">2026-09-15T07:20:17Z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eyJoZGlkIjoiMWIwYmQ3Yzk1NGE5MDZkMmE5M2Q2OTE4ZDAzNDBmOGEiLCJ1c2VySWQiOiIyNTY1NTE3MDMifQ==</vt:lpwstr>
  </property>
  <property fmtid="{D5CDD505-2E9C-101B-9397-08002B2CF9AE}" pid="3" name="KSOProductBuildVer">
    <vt:lpwstr>2052-12.1.0.28505</vt:lpwstr>
  </property>
  <property fmtid="{D5CDD505-2E9C-101B-9397-08002B2CF9AE}" pid="4" name="ICV">
    <vt:lpwstr>F5A0A644E7AC4A8EBC22669045343A0A_13</vt:lpwstr>
  </property>
</Properties>
</file>