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9C74F">
      <w:pPr>
        <w:pStyle w:val="2"/>
        <w:rPr>
          <w:rFonts w:hint="eastAsia" w:ascii="宋体" w:hAnsi="宋体" w:eastAsia="宋体" w:cs="宋体"/>
          <w:b/>
          <w:bCs/>
          <w:sz w:val="36"/>
          <w:szCs w:val="36"/>
        </w:rPr>
      </w:pPr>
      <w:r>
        <w:rPr>
          <w:rFonts w:hint="eastAsia" w:ascii="Times New Roman" w:eastAsia="宋体"/>
          <w:b/>
          <w:bCs/>
          <w:sz w:val="36"/>
          <w:szCs w:val="36"/>
        </w:rPr>
        <w:t>2026年度自然资源科学技术奖</w:t>
      </w:r>
      <w:r>
        <w:rPr>
          <w:rFonts w:hint="eastAsia" w:ascii="宋体" w:hAnsi="宋体" w:eastAsia="宋体" w:cs="宋体"/>
          <w:b/>
          <w:bCs/>
          <w:sz w:val="36"/>
          <w:szCs w:val="36"/>
        </w:rPr>
        <w:t>公示表</w:t>
      </w:r>
    </w:p>
    <w:p w14:paraId="1BC017F0"/>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7849"/>
      </w:tblGrid>
      <w:tr w14:paraId="66B6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615" w:type="dxa"/>
            <w:vAlign w:val="center"/>
          </w:tcPr>
          <w:p w14:paraId="33631DF1">
            <w:pPr>
              <w:adjustRightInd w:val="0"/>
              <w:snapToGrid w:val="0"/>
              <w:jc w:val="center"/>
              <w:rPr>
                <w:rFonts w:hint="eastAsia" w:ascii="仿宋" w:hAnsi="仿宋" w:eastAsia="仿宋"/>
                <w:b/>
                <w:bCs/>
              </w:rPr>
            </w:pPr>
            <w:r>
              <w:rPr>
                <w:rFonts w:hint="eastAsia" w:ascii="仿宋" w:hAnsi="仿宋" w:eastAsia="仿宋"/>
                <w:b/>
                <w:bCs/>
              </w:rPr>
              <w:t>项目名称</w:t>
            </w:r>
          </w:p>
        </w:tc>
        <w:tc>
          <w:tcPr>
            <w:tcW w:w="7849" w:type="dxa"/>
            <w:vAlign w:val="center"/>
          </w:tcPr>
          <w:p w14:paraId="7C807286">
            <w:pPr>
              <w:rPr>
                <w:rFonts w:hint="eastAsia" w:ascii="宋体" w:hAnsi="宋体"/>
                <w:szCs w:val="21"/>
              </w:rPr>
            </w:pPr>
            <w:r>
              <w:rPr>
                <w:rFonts w:hint="eastAsia" w:ascii="宋体" w:hAnsi="宋体"/>
                <w:szCs w:val="21"/>
              </w:rPr>
              <w:t>大黄鱼深远海养殖关键装备与技术创新及应用</w:t>
            </w:r>
          </w:p>
        </w:tc>
      </w:tr>
      <w:tr w14:paraId="3B7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15" w:type="dxa"/>
            <w:vAlign w:val="center"/>
          </w:tcPr>
          <w:p w14:paraId="033CA9B2">
            <w:pPr>
              <w:adjustRightInd w:val="0"/>
              <w:snapToGrid w:val="0"/>
              <w:jc w:val="center"/>
              <w:rPr>
                <w:rFonts w:hint="eastAsia" w:ascii="仿宋" w:hAnsi="仿宋" w:eastAsia="仿宋"/>
                <w:b/>
                <w:bCs/>
              </w:rPr>
            </w:pPr>
            <w:r>
              <w:rPr>
                <w:rFonts w:hint="eastAsia" w:ascii="仿宋" w:hAnsi="仿宋" w:eastAsia="仿宋"/>
                <w:b/>
                <w:bCs/>
              </w:rPr>
              <w:t>申报奖项</w:t>
            </w:r>
          </w:p>
        </w:tc>
        <w:tc>
          <w:tcPr>
            <w:tcW w:w="7849" w:type="dxa"/>
            <w:vAlign w:val="center"/>
          </w:tcPr>
          <w:p w14:paraId="4946C7E9">
            <w:pPr>
              <w:rPr>
                <w:rFonts w:hint="default" w:ascii="宋体" w:hAnsi="宋体" w:eastAsiaTheme="minorEastAsia"/>
                <w:szCs w:val="21"/>
                <w:lang w:val="en-US" w:eastAsia="zh-CN"/>
              </w:rPr>
            </w:pPr>
            <w:r>
              <w:rPr>
                <w:rFonts w:hint="eastAsia" w:ascii="宋体" w:hAnsi="宋体"/>
                <w:szCs w:val="21"/>
              </w:rPr>
              <w:t>科技进步奖</w:t>
            </w:r>
            <w:r>
              <w:rPr>
                <w:rFonts w:hint="eastAsia" w:ascii="宋体" w:hAnsi="宋体"/>
                <w:szCs w:val="21"/>
                <w:lang w:eastAsia="zh-CN"/>
              </w:rPr>
              <w:t>，</w:t>
            </w:r>
            <w:r>
              <w:rPr>
                <w:rFonts w:hint="eastAsia" w:ascii="宋体" w:hAnsi="宋体"/>
                <w:szCs w:val="21"/>
              </w:rPr>
              <w:t>特等奖</w:t>
            </w:r>
            <w:r>
              <w:rPr>
                <w:rFonts w:hint="eastAsia" w:ascii="宋体" w:hAnsi="宋体"/>
                <w:szCs w:val="21"/>
                <w:lang w:val="en-US" w:eastAsia="zh-CN"/>
              </w:rPr>
              <w:t>或一等奖</w:t>
            </w:r>
          </w:p>
        </w:tc>
      </w:tr>
      <w:tr w14:paraId="369C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57FA4F19">
            <w:pPr>
              <w:snapToGrid w:val="0"/>
              <w:jc w:val="center"/>
              <w:rPr>
                <w:rFonts w:hint="eastAsia" w:ascii="仿宋" w:hAnsi="仿宋" w:eastAsia="仿宋"/>
              </w:rPr>
            </w:pPr>
            <w:r>
              <w:rPr>
                <w:rFonts w:hint="eastAsia" w:ascii="仿宋" w:hAnsi="仿宋" w:eastAsia="仿宋"/>
                <w:b/>
                <w:bCs/>
              </w:rPr>
              <w:t>主要完成单位</w:t>
            </w:r>
          </w:p>
        </w:tc>
        <w:tc>
          <w:tcPr>
            <w:tcW w:w="7849" w:type="dxa"/>
            <w:vAlign w:val="center"/>
          </w:tcPr>
          <w:p w14:paraId="38B9451A">
            <w:pPr>
              <w:rPr>
                <w:rFonts w:hint="eastAsia" w:ascii="宋体" w:hAnsi="宋体"/>
                <w:szCs w:val="21"/>
              </w:rPr>
            </w:pPr>
            <w:r>
              <w:rPr>
                <w:rFonts w:hint="eastAsia" w:ascii="宋体" w:hAnsi="宋体"/>
                <w:szCs w:val="21"/>
              </w:rPr>
              <w:t>中国水产科学研究院东海水产研究所，中国科学院广州能源研究所，台州市椒江汇鑫元现代渔业有限公司，三都港海洋食品有限公司，浙江深蓝海洋科技有限公司，宁德市富发水产有限公司，珠海格盛科技有限公司</w:t>
            </w:r>
          </w:p>
        </w:tc>
      </w:tr>
      <w:tr w14:paraId="357A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3A6AC11F">
            <w:pPr>
              <w:snapToGrid w:val="0"/>
              <w:jc w:val="center"/>
              <w:rPr>
                <w:rFonts w:hint="eastAsia" w:ascii="仿宋" w:hAnsi="仿宋" w:eastAsia="仿宋"/>
                <w:b/>
                <w:bCs/>
              </w:rPr>
            </w:pPr>
            <w:r>
              <w:rPr>
                <w:rFonts w:hint="eastAsia" w:ascii="仿宋" w:hAnsi="仿宋" w:eastAsia="仿宋"/>
                <w:b/>
                <w:bCs/>
              </w:rPr>
              <w:t>主要完成人</w:t>
            </w:r>
          </w:p>
        </w:tc>
        <w:tc>
          <w:tcPr>
            <w:tcW w:w="7849" w:type="dxa"/>
            <w:vAlign w:val="center"/>
          </w:tcPr>
          <w:p w14:paraId="2C7F94C2">
            <w:pPr>
              <w:rPr>
                <w:rFonts w:hint="eastAsia" w:ascii="宋体" w:hAnsi="宋体"/>
                <w:szCs w:val="21"/>
              </w:rPr>
            </w:pPr>
            <w:r>
              <w:rPr>
                <w:rFonts w:hint="eastAsia" w:ascii="宋体" w:hAnsi="宋体"/>
                <w:szCs w:val="21"/>
              </w:rPr>
              <w:t>王鲁民，王磊，盛松伟，宋炜，郭全友，彭士明，王振鹏，王永进，刘永利，马硕</w:t>
            </w:r>
          </w:p>
        </w:tc>
      </w:tr>
      <w:tr w14:paraId="42FE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1615" w:type="dxa"/>
            <w:vAlign w:val="center"/>
          </w:tcPr>
          <w:p w14:paraId="3EB6C601">
            <w:pPr>
              <w:snapToGrid w:val="0"/>
              <w:jc w:val="center"/>
              <w:rPr>
                <w:rFonts w:hint="eastAsia" w:ascii="仿宋" w:hAnsi="仿宋" w:eastAsia="仿宋"/>
                <w:b/>
                <w:bCs/>
              </w:rPr>
            </w:pPr>
            <w:r>
              <w:rPr>
                <w:rFonts w:ascii="仿宋" w:hAnsi="仿宋" w:eastAsia="仿宋"/>
                <w:b/>
                <w:bCs/>
              </w:rPr>
              <w:t>推荐意见</w:t>
            </w:r>
          </w:p>
        </w:tc>
        <w:tc>
          <w:tcPr>
            <w:tcW w:w="7849" w:type="dxa"/>
            <w:vAlign w:val="center"/>
          </w:tcPr>
          <w:p w14:paraId="04D6E43E">
            <w:pPr>
              <w:ind w:firstLine="420" w:firstLineChars="200"/>
              <w:rPr>
                <w:rFonts w:hint="eastAsia" w:ascii="宋体" w:hAnsi="宋体"/>
                <w:szCs w:val="21"/>
              </w:rPr>
            </w:pPr>
            <w:r>
              <w:rPr>
                <w:rFonts w:hint="eastAsia" w:ascii="宋体" w:hAnsi="宋体"/>
                <w:szCs w:val="21"/>
              </w:rPr>
              <w:t>农业农村部等八部门《关于加快推进深远海养殖发展的意见》指出：“大力发展深远海养殖，对优化水产养殖空间布局、促进海洋渔业转型升级、确保国家粮食安全、改善国民膳食结构、实施健康中国战略均具有重要意义”。该项目针对大黄鱼深远海养殖面临的设施装备和产业技术瓶颈，历时15年产学研协同攻关，创新适于大黄鱼深远海养殖的核心装备与系列支撑技术：（1）发明了组合式海底柱桩、跨波浪能区桁架结构、多层组合布网等工程化围栏构建技术，引领了工程围栏深远海养殖模式；（2）发明箱梁半潜船体网箱与波光能一体平台技术，支撑建造“闽投1号”“东海1号”等5个先进养殖平台；（3）发明“刚柔结合”及深远海升降型重力式网箱关键技术，研发出国内首台铜合金拉伸网结合重力式网箱；（4）创制了大黄鱼深远海抗流新种质、高效投饲与保活起捕等“良种+良法”；（5）建立了覆盖全要素的质量分级与追溯体系，牵头制定了国内首个养殖鱼类质量等级评定行业标准。项目形成系列自主知识产权，获授权发达国家发明6件、国际PCT专利8件、中国发明专利37件、实用新型18件，制定行业标准3项，软件著作权6项，专著3部、论文57篇。成果国内领先、国际先进，引领了大黄鱼产业“蓝色转型”，近</w:t>
            </w:r>
            <w:r>
              <w:rPr>
                <w:rFonts w:hint="eastAsia" w:ascii="宋体" w:hAnsi="宋体"/>
                <w:szCs w:val="21"/>
                <w:lang w:val="en-US" w:eastAsia="zh-CN"/>
              </w:rPr>
              <w:t>三</w:t>
            </w:r>
            <w:r>
              <w:rPr>
                <w:rFonts w:hint="eastAsia" w:ascii="宋体" w:hAnsi="宋体"/>
                <w:szCs w:val="21"/>
              </w:rPr>
              <w:t>年在围栏和平台应用直接经济效益</w:t>
            </w:r>
            <w:r>
              <w:rPr>
                <w:rFonts w:hint="eastAsia" w:ascii="宋体" w:hAnsi="宋体"/>
                <w:szCs w:val="21"/>
                <w:lang w:val="en-US" w:eastAsia="zh-CN"/>
              </w:rPr>
              <w:t>10</w:t>
            </w:r>
            <w:r>
              <w:rPr>
                <w:rFonts w:hint="eastAsia" w:ascii="宋体" w:hAnsi="宋体"/>
                <w:szCs w:val="21"/>
              </w:rPr>
              <w:t>亿元。创制的核心装备和产业技术模式显著拓展了大黄鱼养殖空间和绿色发展能力，推动养殖提质增效与生态减负，并构建了质量可溯可控体系，社会、经济及生态效益显著。</w:t>
            </w:r>
            <w:r>
              <w:rPr>
                <w:rFonts w:ascii="宋体" w:hAnsi="宋体" w:eastAsia="宋体" w:cs="宋体"/>
                <w:sz w:val="24"/>
                <w:szCs w:val="24"/>
              </w:rPr>
              <w:t>同意推荐该项目申报</w:t>
            </w:r>
            <w:r>
              <w:rPr>
                <w:rFonts w:ascii="宋体" w:hAnsi="宋体" w:eastAsia="宋体" w:cs="宋体"/>
                <w:sz w:val="24"/>
                <w:szCs w:val="24"/>
                <w:lang w:val="en-US" w:eastAsia="zh-CN"/>
              </w:rPr>
              <w:t>2026 年自然资源科学技术</w:t>
            </w:r>
            <w:r>
              <w:rPr>
                <w:rFonts w:hint="eastAsia" w:ascii="宋体" w:hAnsi="宋体" w:eastAsia="宋体" w:cs="宋体"/>
                <w:sz w:val="24"/>
                <w:szCs w:val="24"/>
                <w:lang w:val="en-US" w:eastAsia="zh-CN"/>
              </w:rPr>
              <w:t>科技</w:t>
            </w:r>
            <w:r>
              <w:rPr>
                <w:rFonts w:ascii="宋体" w:hAnsi="宋体" w:eastAsia="宋体" w:cs="宋体"/>
                <w:sz w:val="24"/>
                <w:szCs w:val="24"/>
              </w:rPr>
              <w:t>进步</w:t>
            </w:r>
            <w:r>
              <w:rPr>
                <w:rFonts w:hint="eastAsia" w:ascii="宋体" w:hAnsi="宋体" w:eastAsia="宋体" w:cs="宋体"/>
                <w:sz w:val="24"/>
                <w:szCs w:val="24"/>
              </w:rPr>
              <w:t>特等奖或一等奖</w:t>
            </w:r>
            <w:bookmarkStart w:id="0" w:name="_GoBack"/>
            <w:bookmarkEnd w:id="0"/>
            <w:r>
              <w:rPr>
                <w:rFonts w:ascii="宋体" w:hAnsi="宋体" w:eastAsia="宋体" w:cs="宋体"/>
                <w:sz w:val="24"/>
                <w:szCs w:val="24"/>
              </w:rPr>
              <w:t>。</w:t>
            </w:r>
          </w:p>
        </w:tc>
      </w:tr>
      <w:tr w14:paraId="01E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615" w:type="dxa"/>
            <w:vAlign w:val="center"/>
          </w:tcPr>
          <w:p w14:paraId="42A8F43E">
            <w:pPr>
              <w:snapToGrid w:val="0"/>
              <w:jc w:val="center"/>
              <w:rPr>
                <w:rFonts w:hint="eastAsia" w:ascii="仿宋" w:hAnsi="仿宋" w:eastAsia="仿宋"/>
                <w:b/>
                <w:bCs/>
              </w:rPr>
            </w:pPr>
            <w:r>
              <w:rPr>
                <w:rFonts w:ascii="仿宋" w:hAnsi="仿宋" w:eastAsia="仿宋"/>
                <w:b/>
                <w:bCs/>
              </w:rPr>
              <w:t>成果简介</w:t>
            </w:r>
          </w:p>
        </w:tc>
        <w:tc>
          <w:tcPr>
            <w:tcW w:w="7849" w:type="dxa"/>
            <w:vAlign w:val="center"/>
          </w:tcPr>
          <w:p w14:paraId="649E4EE6">
            <w:pPr>
              <w:ind w:firstLine="420" w:firstLineChars="200"/>
              <w:rPr>
                <w:rFonts w:hint="eastAsia" w:ascii="宋体" w:hAnsi="宋体"/>
                <w:szCs w:val="21"/>
              </w:rPr>
            </w:pPr>
            <w:r>
              <w:rPr>
                <w:rFonts w:hint="eastAsia" w:ascii="宋体" w:hAnsi="宋体"/>
                <w:szCs w:val="21"/>
              </w:rPr>
              <w:t>项目属于水产养殖技术领域。深远海养殖以拓展海水养殖空间、减轻近岸水域生态环境压力、供给绿色优质水产品，成为国内外重点发展方向。项目历时15年，针对大黄鱼养殖走向深远海面临的海况适应性难题，创新了适于大黄鱼深远海养殖的“工程化围栏、大型养殖平台、重力式网箱”三大类型装备与“鱼种-养殖-流加”三大环节产业链支撑系列关键技术。成果整体达到国际领先地位。</w:t>
            </w:r>
          </w:p>
          <w:p w14:paraId="0EA700C9">
            <w:pPr>
              <w:ind w:firstLine="420" w:firstLineChars="200"/>
              <w:rPr>
                <w:rFonts w:hint="eastAsia" w:ascii="宋体" w:hAnsi="宋体"/>
                <w:szCs w:val="21"/>
              </w:rPr>
            </w:pPr>
            <w:r>
              <w:rPr>
                <w:rFonts w:hint="eastAsia" w:ascii="宋体" w:hAnsi="宋体"/>
                <w:szCs w:val="21"/>
              </w:rPr>
              <w:t>（1）发明了水下大型柱桩、跨海面波浪能区的顶部桁架结构连接、海底-水下-水上组合布网的深远海工程化围栏设施构建系列关键技术。先后在东海海域构建并应用养殖水体10万～240万立方米的大黄鱼工程化围栏养殖设施8个。</w:t>
            </w:r>
          </w:p>
          <w:p w14:paraId="74DB196F">
            <w:pPr>
              <w:ind w:firstLine="420" w:firstLineChars="200"/>
              <w:rPr>
                <w:rFonts w:hint="eastAsia" w:ascii="宋体" w:hAnsi="宋体"/>
                <w:szCs w:val="21"/>
              </w:rPr>
            </w:pPr>
            <w:r>
              <w:rPr>
                <w:rFonts w:hint="eastAsia" w:ascii="宋体" w:hAnsi="宋体"/>
                <w:szCs w:val="21"/>
              </w:rPr>
              <w:t>（2）发明了箱梁式半潜船体结合侧/底部网状结构、集波浪能和太阳能发电于一体的半潜式深海养殖网箱平台构建等关键技术。近三年支撑建造“闽投1号”“东海1号”等大黄鱼深远海养殖平台5个，带动了半潜式平台深远海养殖模式发展。</w:t>
            </w:r>
          </w:p>
          <w:p w14:paraId="4B29779B">
            <w:pPr>
              <w:ind w:firstLine="420" w:firstLineChars="200"/>
              <w:rPr>
                <w:rFonts w:hint="eastAsia" w:ascii="宋体" w:hAnsi="宋体"/>
                <w:szCs w:val="21"/>
              </w:rPr>
            </w:pPr>
            <w:r>
              <w:rPr>
                <w:rFonts w:hint="eastAsia" w:ascii="宋体" w:hAnsi="宋体"/>
                <w:szCs w:val="21"/>
              </w:rPr>
              <w:t>（3）发明了“刚性铜合金拉伸网+柔性合成纤维网”结合装配重力式网箱及深远海开放海域升降型重力式网箱等关键技术。研发应用了国内首台铜合金拉伸网刚柔结合装配重力式网箱，为重力式网箱迭代升级奠定了基础。</w:t>
            </w:r>
          </w:p>
          <w:p w14:paraId="580A3E0F">
            <w:pPr>
              <w:ind w:firstLine="420" w:firstLineChars="200"/>
              <w:rPr>
                <w:rFonts w:hint="eastAsia" w:ascii="宋体" w:hAnsi="宋体"/>
                <w:szCs w:val="21"/>
              </w:rPr>
            </w:pPr>
            <w:r>
              <w:rPr>
                <w:rFonts w:hint="eastAsia" w:ascii="宋体" w:hAnsi="宋体"/>
                <w:szCs w:val="21"/>
              </w:rPr>
              <w:t>（4）发明了面向深远海养殖的大黄鱼抗流新种质培育、高效投饲、保活起捕等“良种+良法”支撑技术。累计培育优质苗种超5亿尾，在工程化围栏和养殖平台上应用示范，实现了养殖大黄鱼提质增效。</w:t>
            </w:r>
          </w:p>
          <w:p w14:paraId="6F5CA7BF">
            <w:pPr>
              <w:ind w:firstLine="420" w:firstLineChars="200"/>
              <w:rPr>
                <w:rFonts w:hint="eastAsia" w:ascii="宋体" w:hAnsi="宋体"/>
                <w:szCs w:val="21"/>
              </w:rPr>
            </w:pPr>
            <w:r>
              <w:rPr>
                <w:rFonts w:hint="eastAsia" w:ascii="宋体" w:hAnsi="宋体"/>
                <w:szCs w:val="21"/>
              </w:rPr>
              <w:t>（5）创建了覆盖全要素的大黄鱼质量分级、品质提升和质量追溯体系，制定了首个国内行业标准《养殖大黄鱼质量等级评定规则》，支撑了大黄鱼质量分级标准化、质量可溯可控和提质增效。</w:t>
            </w:r>
          </w:p>
          <w:p w14:paraId="0596B6C9">
            <w:pPr>
              <w:ind w:firstLine="420" w:firstLineChars="200"/>
              <w:rPr>
                <w:rFonts w:hint="eastAsia" w:ascii="宋体" w:hAnsi="宋体"/>
                <w:szCs w:val="21"/>
              </w:rPr>
            </w:pPr>
            <w:r>
              <w:rPr>
                <w:rFonts w:hint="eastAsia" w:ascii="宋体" w:hAnsi="宋体"/>
                <w:szCs w:val="21"/>
              </w:rPr>
              <w:t>获授权发达国家发明专利6件、国际PCT专利8件，中国发明专利37件、实用新型专利20件，行业标准3项，软件著作权9项，专著3部、论文59篇。项目引领了大黄鱼深远海养殖技术创新与实践，带动了大黄鱼产业蓝色转型与提质增效，近三年直接经济效益10.59亿元，具有显著的经济、社会及生态效益。</w:t>
            </w:r>
          </w:p>
        </w:tc>
      </w:tr>
      <w:tr w14:paraId="1A19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1615" w:type="dxa"/>
            <w:vAlign w:val="center"/>
          </w:tcPr>
          <w:p w14:paraId="46031004">
            <w:pPr>
              <w:snapToGrid w:val="0"/>
              <w:jc w:val="center"/>
              <w:rPr>
                <w:rFonts w:hint="eastAsia" w:ascii="仿宋" w:hAnsi="仿宋" w:eastAsia="仿宋"/>
                <w:b/>
                <w:bCs/>
              </w:rPr>
            </w:pPr>
            <w:r>
              <w:rPr>
                <w:rFonts w:ascii="仿宋" w:hAnsi="仿宋" w:eastAsia="仿宋"/>
                <w:b/>
                <w:bCs/>
              </w:rPr>
              <w:t>客观评价</w:t>
            </w:r>
          </w:p>
        </w:tc>
        <w:tc>
          <w:tcPr>
            <w:tcW w:w="7849" w:type="dxa"/>
            <w:vAlign w:val="center"/>
          </w:tcPr>
          <w:p w14:paraId="616BD1FB">
            <w:pPr>
              <w:ind w:firstLine="420" w:firstLineChars="200"/>
              <w:rPr>
                <w:rFonts w:hint="eastAsia" w:ascii="宋体" w:hAnsi="宋体"/>
                <w:szCs w:val="21"/>
              </w:rPr>
            </w:pPr>
            <w:r>
              <w:rPr>
                <w:rFonts w:hint="eastAsia" w:ascii="宋体" w:hAnsi="宋体"/>
                <w:szCs w:val="21"/>
              </w:rPr>
              <w:t>1、 查新与水平检索</w:t>
            </w:r>
          </w:p>
          <w:p w14:paraId="1650E22B">
            <w:pPr>
              <w:ind w:firstLine="420" w:firstLineChars="200"/>
              <w:rPr>
                <w:rFonts w:hint="eastAsia" w:ascii="宋体" w:hAnsi="宋体"/>
                <w:szCs w:val="21"/>
              </w:rPr>
            </w:pPr>
            <w:r>
              <w:rPr>
                <w:rFonts w:hint="eastAsia" w:ascii="宋体" w:hAnsi="宋体"/>
                <w:szCs w:val="21"/>
              </w:rPr>
              <w:t>2025年8月13日，中国科学院上海科技查新咨询中心（上海市科学技术成果）科技项目咨询报告结论：综上所述，由中国水产科学研究院东海水产研究所委托查新的“大黄鱼深远海养殖关键技术及应用”，该项目牧场式浅海围栏养鱼设施水下铜合金冲孔网组装方法，耐腐防污水下铜合金冲制成型、网体与围栏柱桩防磨损安装；集波浪能和太阳能发电于一体的半潜式深海养殖网箱，多舱室独立可调压载水量的半潜船体、波浪能、太阳能等多能互补发电系统；养殖网箱升降调节装置及其开放海域重力式养殖网箱，基于全封闭“储水浮仓+连通管+储水沉仓”系统、内部以潜水泵与电磁阀驱动控制淡水和空气交换调节浮力，以及泵/阀驱动控制密封刚性腔体与柔性水囊袋进行淡水交换调节浮力，从而实现网箱升降控制的关键技术；提升大黄鱼苗种抗流能力的培育方法，基于繁育亲本抗流筛选、仔鱼微水流驯化、稚鱼弱水流驯化、幼鱼强水流驯化，提升大黄鱼苗种的抗流能力；养殖大黄鱼质量等级评定规则与追溯技术，建立了养殖大黄鱼四个质量等级，包括感官要求、理化指标等质量等级的定性与定量评定指标和规则，以及各项指标相应的试验方法、检验规则与标识要求。经检索，未见有与该项目设计及采用的关键技术相对应的文献和专利。因此，该项目具有新颖性。经分析，该项目综合技术达到了国内领先、国际先进水平。</w:t>
            </w:r>
          </w:p>
          <w:p w14:paraId="4553328A">
            <w:pPr>
              <w:ind w:firstLine="420" w:firstLineChars="200"/>
              <w:rPr>
                <w:rFonts w:hint="eastAsia" w:ascii="宋体" w:hAnsi="宋体"/>
                <w:szCs w:val="21"/>
              </w:rPr>
            </w:pPr>
            <w:r>
              <w:rPr>
                <w:rFonts w:hint="eastAsia" w:ascii="宋体" w:hAnsi="宋体"/>
                <w:szCs w:val="21"/>
              </w:rPr>
              <w:t>2、 成果验收意见</w:t>
            </w:r>
          </w:p>
          <w:p w14:paraId="24E1C7AE">
            <w:pPr>
              <w:ind w:firstLine="420" w:firstLineChars="200"/>
              <w:rPr>
                <w:rFonts w:hint="eastAsia" w:ascii="宋体" w:hAnsi="宋体"/>
                <w:szCs w:val="21"/>
              </w:rPr>
            </w:pPr>
            <w:r>
              <w:rPr>
                <w:rFonts w:hint="eastAsia" w:ascii="宋体" w:hAnsi="宋体"/>
                <w:szCs w:val="21"/>
              </w:rPr>
              <w:t>2021年1月17—20日，国家海水鱼产业技术体系执行专家组对“深远海养殖岗位”进行了“十三五”考核验收。专家组听取汇报、审阅资料、质询讨论后形成意见：1.完善大型远海牧场式围栏设施1种；研发智能升潜式网箱等3种深远海养殖设施；完成水动力性能试验报告和工程化技术规范；建设2个大型围栏示范点。2.拟定接力养殖方案和规范；完成花鲈养殖评估和策略。3.完成监测系统集成；开发自动投喂系统；完成水质评价报告。4.完成应急任务；培养研究生15人；合理使用经费。5.获行业奖励1项；申请授权专利41项（含国际2项）和实用新型8项；获软件著作权4项；发表论文12篇；开展42次调研、33次学术报告、9次培训。该岗位圆满完成任务，专家组同意通过验收。</w:t>
            </w:r>
          </w:p>
          <w:p w14:paraId="0056300E">
            <w:pPr>
              <w:ind w:firstLine="420" w:firstLineChars="200"/>
              <w:rPr>
                <w:rFonts w:hint="eastAsia" w:ascii="宋体" w:hAnsi="宋体"/>
                <w:szCs w:val="21"/>
              </w:rPr>
            </w:pPr>
            <w:r>
              <w:rPr>
                <w:rFonts w:hint="eastAsia" w:ascii="宋体" w:hAnsi="宋体"/>
                <w:szCs w:val="21"/>
              </w:rPr>
              <w:t>3、 央视报道</w:t>
            </w:r>
          </w:p>
          <w:p w14:paraId="7B186D32">
            <w:pPr>
              <w:ind w:firstLine="420" w:firstLineChars="200"/>
              <w:rPr>
                <w:rFonts w:hint="eastAsia" w:ascii="宋体" w:hAnsi="宋体"/>
                <w:szCs w:val="21"/>
              </w:rPr>
            </w:pPr>
            <w:r>
              <w:rPr>
                <w:rFonts w:hint="eastAsia" w:ascii="宋体" w:hAnsi="宋体"/>
                <w:szCs w:val="21"/>
              </w:rPr>
              <w:t>2017年7月6日，CCTV-7《科技苑》“种养大创新：上天入地又下海”，节目介绍了大型牧场式围栏养殖大黄鱼的情况，着重强调了铜合金网片在围栏养殖中的创新应用，以及提高大黄鱼品质、保障水产食品安全的良好成效；2018年12月4日，CCTV-7《三农资讯》节目报道了大型工程化围栏装备，介绍了围栏养殖大黄鱼体型瘦长、肉质紧实、鱼肉呈蒜瓣状等特征，品质高于近岸网箱养殖的大黄鱼，养殖效益高；2019年9月19日，CCTV-17《致富经》介绍了2013年建设的首座工程化围栏的应用和养殖大黄鱼提质增效。</w:t>
            </w:r>
          </w:p>
          <w:p w14:paraId="2CD71C8C">
            <w:pPr>
              <w:ind w:firstLine="420" w:firstLineChars="200"/>
              <w:rPr>
                <w:rFonts w:hint="eastAsia" w:ascii="宋体" w:hAnsi="宋体"/>
                <w:szCs w:val="21"/>
              </w:rPr>
            </w:pPr>
            <w:r>
              <w:rPr>
                <w:rFonts w:hint="eastAsia" w:ascii="宋体" w:hAnsi="宋体"/>
                <w:szCs w:val="21"/>
              </w:rPr>
              <w:t>4、 联合国粮农组织官员评价</w:t>
            </w:r>
          </w:p>
          <w:p w14:paraId="59BF7568">
            <w:pPr>
              <w:ind w:firstLine="420" w:firstLineChars="200"/>
              <w:rPr>
                <w:rFonts w:hint="eastAsia" w:ascii="宋体" w:hAnsi="宋体"/>
                <w:szCs w:val="21"/>
              </w:rPr>
            </w:pPr>
            <w:r>
              <w:rPr>
                <w:rFonts w:hint="eastAsia" w:ascii="宋体" w:hAnsi="宋体"/>
                <w:szCs w:val="21"/>
              </w:rPr>
              <w:t>2019年10月20日，联合国粮农组织渔业与养殖处处长Matthias Halwart考察了大黄鱼深远海围栏养殖（刊登于FAO Newsletter），作出评价：“我觉得这是一个非常好的模式，尤其是考虑到你们在这里养殖的是一种非常敏感的鱼类。这意味着这里的养殖环境必须非常完美，否则你们就无法成功。而且你们已经通过多个案例证明了你们可以养出健康的鱼，并将其销往优质市场——毕竟中国人非常喜欢大黄鱼。因此，我认为这是一个深远海养殖发展的良好示范。我认为，这种深远海养殖确实是未来极具前景的发展方向，特别是它能够有助于缓解野生渔业资源的捕捞压力。对于大黄鱼这种在自然环境中已经枯竭的鱼类来说，这一点尤其重要。”</w:t>
            </w:r>
          </w:p>
          <w:p w14:paraId="3A97409A">
            <w:pPr>
              <w:ind w:firstLine="420" w:firstLineChars="200"/>
              <w:rPr>
                <w:rFonts w:hint="eastAsia" w:ascii="宋体" w:hAnsi="宋体"/>
                <w:szCs w:val="21"/>
              </w:rPr>
            </w:pPr>
            <w:r>
              <w:rPr>
                <w:rFonts w:hint="eastAsia" w:ascii="宋体" w:hAnsi="宋体"/>
                <w:szCs w:val="21"/>
              </w:rPr>
              <w:t>5、 国际合作平台</w:t>
            </w:r>
          </w:p>
          <w:p w14:paraId="33BB9554">
            <w:pPr>
              <w:ind w:firstLine="420" w:firstLineChars="200"/>
              <w:rPr>
                <w:rFonts w:hint="eastAsia" w:ascii="宋体" w:hAnsi="宋体"/>
                <w:szCs w:val="21"/>
              </w:rPr>
            </w:pPr>
            <w:r>
              <w:rPr>
                <w:rFonts w:hint="eastAsia" w:ascii="宋体" w:hAnsi="宋体"/>
                <w:szCs w:val="21"/>
              </w:rPr>
              <w:t>鉴于项目在深远海养殖设施装备与大黄鱼养殖技术研发与应用方面取得的显著成效，2018年，中国水产科学研究院东海水产研究所作为中方代表参与了澳大利亚蓝色经济联合研究中心（BE-CRC），并与澳大利亚塔斯马尼亚大学签署了合作备忘录。</w:t>
            </w:r>
          </w:p>
          <w:p w14:paraId="3A0E2975">
            <w:pPr>
              <w:ind w:firstLine="420" w:firstLineChars="200"/>
              <w:rPr>
                <w:rFonts w:hint="eastAsia" w:ascii="宋体" w:hAnsi="宋体"/>
                <w:szCs w:val="21"/>
              </w:rPr>
            </w:pPr>
            <w:r>
              <w:rPr>
                <w:rFonts w:hint="eastAsia" w:ascii="宋体" w:hAnsi="宋体"/>
                <w:szCs w:val="21"/>
              </w:rPr>
              <w:t>6、 成果奖励与论文（专著）评价</w:t>
            </w:r>
          </w:p>
          <w:p w14:paraId="7E8A48D6">
            <w:pPr>
              <w:ind w:firstLine="420" w:firstLineChars="200"/>
              <w:rPr>
                <w:rFonts w:hint="eastAsia" w:ascii="宋体" w:hAnsi="宋体"/>
                <w:szCs w:val="21"/>
              </w:rPr>
            </w:pPr>
            <w:r>
              <w:rPr>
                <w:rFonts w:hint="eastAsia" w:ascii="宋体" w:hAnsi="宋体"/>
                <w:szCs w:val="21"/>
              </w:rPr>
              <w:t>项目相关“养殖大黄鱼质量评价与追溯技术”获渔业新技术新产品新装备2022年度优秀科技成果；“养殖大黄鱼品质控制与高值利用关键技术及应用”获海洋科学技术奖一等奖；《基于超声波标志法的浅海围栏养殖大黄鱼行为研究》论文获上海市水产学会优秀科技论文奖二等奖；《深远海设施养殖技术模式》获中国海洋学会、中国太平洋学会和中国海洋湖沼学会联合颁发的“海洋优秀科技图书”获优证书。</w:t>
            </w:r>
          </w:p>
        </w:tc>
      </w:tr>
      <w:tr w14:paraId="7471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restart"/>
            <w:vAlign w:val="center"/>
          </w:tcPr>
          <w:p w14:paraId="53D3D60A">
            <w:pPr>
              <w:snapToGrid w:val="0"/>
              <w:jc w:val="center"/>
              <w:rPr>
                <w:rFonts w:hint="eastAsia" w:ascii="仿宋" w:hAnsi="仿宋" w:eastAsia="仿宋"/>
                <w:b/>
                <w:bCs/>
              </w:rPr>
            </w:pPr>
            <w:r>
              <w:rPr>
                <w:rFonts w:ascii="仿宋" w:hAnsi="仿宋" w:eastAsia="仿宋"/>
                <w:b/>
                <w:bCs/>
              </w:rPr>
              <w:t>主要知识产权目录</w:t>
            </w:r>
          </w:p>
        </w:tc>
        <w:tc>
          <w:tcPr>
            <w:tcW w:w="7849" w:type="dxa"/>
            <w:vAlign w:val="center"/>
          </w:tcPr>
          <w:p w14:paraId="00C72F61">
            <w:pPr>
              <w:rPr>
                <w:rFonts w:hint="eastAsia" w:ascii="宋体" w:hAnsi="宋体"/>
                <w:szCs w:val="21"/>
              </w:rPr>
            </w:pPr>
            <w:r>
              <w:rPr>
                <w:rFonts w:hint="eastAsia" w:ascii="宋体" w:hAnsi="宋体"/>
                <w:szCs w:val="21"/>
              </w:rPr>
              <w:t>日本方面专利：放牧型浅海フェソス養魚施設の水中銅合金パソチソプメタルの組立方法</w:t>
            </w:r>
          </w:p>
        </w:tc>
      </w:tr>
      <w:tr w14:paraId="2517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387F4300">
            <w:pPr>
              <w:snapToGrid w:val="0"/>
              <w:jc w:val="center"/>
              <w:rPr>
                <w:rFonts w:hint="eastAsia" w:ascii="仿宋" w:hAnsi="仿宋" w:eastAsia="仿宋"/>
                <w:b/>
                <w:bCs/>
              </w:rPr>
            </w:pPr>
          </w:p>
        </w:tc>
        <w:tc>
          <w:tcPr>
            <w:tcW w:w="7849" w:type="dxa"/>
            <w:vAlign w:val="center"/>
          </w:tcPr>
          <w:p w14:paraId="618BB037">
            <w:pPr>
              <w:rPr>
                <w:rFonts w:hint="eastAsia" w:ascii="宋体" w:hAnsi="宋体"/>
                <w:szCs w:val="21"/>
              </w:rPr>
            </w:pPr>
            <w:r>
              <w:rPr>
                <w:rFonts w:hint="eastAsia" w:ascii="宋体" w:hAnsi="宋体"/>
                <w:szCs w:val="21"/>
              </w:rPr>
              <w:t>中国发明专利：一种基于围栏养殖设施的网衣强度支撑构造方法</w:t>
            </w:r>
          </w:p>
        </w:tc>
      </w:tr>
      <w:tr w14:paraId="7D4D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05F09E58">
            <w:pPr>
              <w:snapToGrid w:val="0"/>
              <w:jc w:val="center"/>
              <w:rPr>
                <w:rFonts w:hint="eastAsia" w:ascii="仿宋" w:hAnsi="仿宋" w:eastAsia="仿宋"/>
                <w:b/>
                <w:bCs/>
              </w:rPr>
            </w:pPr>
          </w:p>
        </w:tc>
        <w:tc>
          <w:tcPr>
            <w:tcW w:w="7849" w:type="dxa"/>
            <w:vAlign w:val="center"/>
          </w:tcPr>
          <w:p w14:paraId="4AE23EF9">
            <w:pPr>
              <w:rPr>
                <w:rFonts w:hint="eastAsia" w:ascii="宋体" w:hAnsi="宋体"/>
                <w:szCs w:val="21"/>
              </w:rPr>
            </w:pPr>
            <w:r>
              <w:rPr>
                <w:rFonts w:hint="eastAsia" w:ascii="宋体" w:hAnsi="宋体"/>
                <w:szCs w:val="21"/>
              </w:rPr>
              <w:t>中国发明专利：集波浪能和太阳能发电于一体的半潜式深海养殖网箱</w:t>
            </w:r>
          </w:p>
        </w:tc>
      </w:tr>
      <w:tr w14:paraId="071E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206638B3">
            <w:pPr>
              <w:snapToGrid w:val="0"/>
              <w:jc w:val="center"/>
              <w:rPr>
                <w:rFonts w:hint="eastAsia" w:ascii="仿宋" w:hAnsi="仿宋" w:eastAsia="仿宋"/>
                <w:b/>
                <w:bCs/>
              </w:rPr>
            </w:pPr>
          </w:p>
        </w:tc>
        <w:tc>
          <w:tcPr>
            <w:tcW w:w="7849" w:type="dxa"/>
            <w:vAlign w:val="center"/>
          </w:tcPr>
          <w:p w14:paraId="4BA6B46C">
            <w:pPr>
              <w:rPr>
                <w:rFonts w:hint="eastAsia" w:ascii="宋体" w:hAnsi="宋体"/>
                <w:szCs w:val="21"/>
              </w:rPr>
            </w:pPr>
            <w:r>
              <w:rPr>
                <w:rFonts w:hint="eastAsia" w:ascii="宋体" w:hAnsi="宋体"/>
                <w:szCs w:val="21"/>
              </w:rPr>
              <w:t>澳大利亚发明专利：Stretched copper alloy mesh sheet with high permeability rate and connection method thereof</w:t>
            </w:r>
          </w:p>
        </w:tc>
      </w:tr>
      <w:tr w14:paraId="1F2E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4B36AE02">
            <w:pPr>
              <w:snapToGrid w:val="0"/>
              <w:jc w:val="center"/>
              <w:rPr>
                <w:rFonts w:hint="eastAsia" w:ascii="仿宋" w:hAnsi="仿宋" w:eastAsia="仿宋"/>
                <w:b/>
                <w:bCs/>
              </w:rPr>
            </w:pPr>
          </w:p>
        </w:tc>
        <w:tc>
          <w:tcPr>
            <w:tcW w:w="7849" w:type="dxa"/>
            <w:vAlign w:val="center"/>
          </w:tcPr>
          <w:p w14:paraId="7808FEA8">
            <w:pPr>
              <w:rPr>
                <w:rFonts w:hint="eastAsia" w:ascii="宋体" w:hAnsi="宋体"/>
                <w:szCs w:val="21"/>
              </w:rPr>
            </w:pPr>
            <w:r>
              <w:rPr>
                <w:rFonts w:hint="eastAsia" w:ascii="宋体" w:hAnsi="宋体"/>
                <w:szCs w:val="21"/>
              </w:rPr>
              <w:t>美国发明专利：Method for constructing cage body of tapered cage assembled in rigid-flexible manner</w:t>
            </w:r>
          </w:p>
        </w:tc>
      </w:tr>
      <w:tr w14:paraId="2FF8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CA256E3">
            <w:pPr>
              <w:snapToGrid w:val="0"/>
              <w:jc w:val="center"/>
              <w:rPr>
                <w:rFonts w:hint="eastAsia" w:ascii="仿宋" w:hAnsi="仿宋" w:eastAsia="仿宋"/>
                <w:b/>
                <w:bCs/>
              </w:rPr>
            </w:pPr>
          </w:p>
        </w:tc>
        <w:tc>
          <w:tcPr>
            <w:tcW w:w="7849" w:type="dxa"/>
            <w:vAlign w:val="center"/>
          </w:tcPr>
          <w:p w14:paraId="4305A75D">
            <w:pPr>
              <w:rPr>
                <w:rFonts w:hint="eastAsia" w:ascii="宋体" w:hAnsi="宋体"/>
                <w:szCs w:val="21"/>
              </w:rPr>
            </w:pPr>
            <w:r>
              <w:rPr>
                <w:rFonts w:hint="eastAsia" w:ascii="宋体" w:hAnsi="宋体"/>
                <w:szCs w:val="21"/>
              </w:rPr>
              <w:t>德国发明专利：Modular zusammengebauter Kupferlegierungsstrecknetz-Netzkäfig sowie Montageverfahren hierfür</w:t>
            </w:r>
          </w:p>
        </w:tc>
      </w:tr>
      <w:tr w14:paraId="0801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D691AEE">
            <w:pPr>
              <w:snapToGrid w:val="0"/>
              <w:jc w:val="center"/>
              <w:rPr>
                <w:rFonts w:hint="eastAsia" w:ascii="仿宋" w:hAnsi="仿宋" w:eastAsia="仿宋"/>
                <w:b/>
                <w:bCs/>
              </w:rPr>
            </w:pPr>
          </w:p>
        </w:tc>
        <w:tc>
          <w:tcPr>
            <w:tcW w:w="7849" w:type="dxa"/>
            <w:vAlign w:val="center"/>
          </w:tcPr>
          <w:p w14:paraId="29968ED3">
            <w:pPr>
              <w:rPr>
                <w:rFonts w:hint="eastAsia" w:ascii="宋体" w:hAnsi="宋体"/>
                <w:szCs w:val="21"/>
              </w:rPr>
            </w:pPr>
            <w:r>
              <w:rPr>
                <w:rFonts w:hint="eastAsia" w:ascii="宋体" w:hAnsi="宋体"/>
                <w:szCs w:val="21"/>
              </w:rPr>
              <w:t>澳大利亚发明专利：aquaculture cage elevation adjusting device and open sea gravity-type aquaculture cage thereof</w:t>
            </w:r>
          </w:p>
        </w:tc>
      </w:tr>
      <w:tr w14:paraId="722F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3B4D655B">
            <w:pPr>
              <w:snapToGrid w:val="0"/>
              <w:jc w:val="center"/>
              <w:rPr>
                <w:rFonts w:hint="eastAsia" w:ascii="仿宋" w:hAnsi="仿宋" w:eastAsia="仿宋"/>
                <w:b/>
                <w:bCs/>
              </w:rPr>
            </w:pPr>
          </w:p>
        </w:tc>
        <w:tc>
          <w:tcPr>
            <w:tcW w:w="7849" w:type="dxa"/>
            <w:vAlign w:val="center"/>
          </w:tcPr>
          <w:p w14:paraId="23539248">
            <w:pPr>
              <w:rPr>
                <w:rFonts w:hint="eastAsia" w:ascii="宋体" w:hAnsi="宋体"/>
                <w:szCs w:val="21"/>
              </w:rPr>
            </w:pPr>
            <w:r>
              <w:rPr>
                <w:rFonts w:hint="eastAsia" w:ascii="宋体" w:hAnsi="宋体"/>
                <w:szCs w:val="21"/>
              </w:rPr>
              <w:t>中国发明专利：刚柔结合装配的椎体网箱体构建方法</w:t>
            </w:r>
          </w:p>
        </w:tc>
      </w:tr>
      <w:tr w14:paraId="3385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C03C880">
            <w:pPr>
              <w:snapToGrid w:val="0"/>
              <w:jc w:val="center"/>
              <w:rPr>
                <w:rFonts w:hint="eastAsia" w:ascii="仿宋" w:hAnsi="仿宋" w:eastAsia="仿宋"/>
                <w:b/>
                <w:bCs/>
              </w:rPr>
            </w:pPr>
          </w:p>
        </w:tc>
        <w:tc>
          <w:tcPr>
            <w:tcW w:w="7849" w:type="dxa"/>
            <w:vAlign w:val="center"/>
          </w:tcPr>
          <w:p w14:paraId="1CF111F9">
            <w:pPr>
              <w:rPr>
                <w:rFonts w:hint="eastAsia" w:ascii="宋体" w:hAnsi="宋体"/>
                <w:szCs w:val="21"/>
              </w:rPr>
            </w:pPr>
            <w:r>
              <w:rPr>
                <w:rFonts w:hint="eastAsia" w:ascii="宋体" w:hAnsi="宋体"/>
                <w:szCs w:val="21"/>
              </w:rPr>
              <w:t>中国发明专利：一种提升大黄鱼苗种抗流能力的培育方法</w:t>
            </w:r>
          </w:p>
        </w:tc>
      </w:tr>
      <w:tr w14:paraId="141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125ED2B">
            <w:pPr>
              <w:snapToGrid w:val="0"/>
              <w:jc w:val="center"/>
              <w:rPr>
                <w:rFonts w:hint="eastAsia" w:ascii="仿宋" w:hAnsi="仿宋" w:eastAsia="仿宋"/>
                <w:b/>
                <w:bCs/>
              </w:rPr>
            </w:pPr>
          </w:p>
        </w:tc>
        <w:tc>
          <w:tcPr>
            <w:tcW w:w="7849" w:type="dxa"/>
            <w:vAlign w:val="center"/>
          </w:tcPr>
          <w:p w14:paraId="77084A75">
            <w:pPr>
              <w:rPr>
                <w:rFonts w:hint="eastAsia" w:ascii="宋体" w:hAnsi="宋体"/>
                <w:szCs w:val="21"/>
              </w:rPr>
            </w:pPr>
            <w:r>
              <w:rPr>
                <w:rFonts w:hint="eastAsia" w:ascii="宋体" w:hAnsi="宋体"/>
                <w:szCs w:val="21"/>
              </w:rPr>
              <w:t>行业标准：《养殖大黄鱼质量等级评定规则》</w:t>
            </w:r>
          </w:p>
        </w:tc>
      </w:tr>
    </w:tbl>
    <w:p w14:paraId="572EA2F3">
      <w:pPr>
        <w:widowControl/>
        <w:jc w:val="left"/>
        <w:rPr>
          <w:rFonts w:ascii="仿宋" w:hAnsi="仿宋" w:eastAsia="仿宋" w:cs="Times New Roman"/>
          <w:sz w:val="32"/>
          <w:szCs w:val="32"/>
        </w:rPr>
      </w:pPr>
    </w:p>
    <w:p w14:paraId="30514457">
      <w:pPr>
        <w:widowControl/>
        <w:jc w:val="left"/>
        <w:rPr>
          <w:rFonts w:ascii="仿宋" w:hAnsi="仿宋" w:eastAsia="仿宋" w:cs="Times New Roman"/>
          <w:sz w:val="32"/>
          <w:szCs w:val="32"/>
        </w:rPr>
      </w:pPr>
    </w:p>
    <w:sectPr>
      <w:footerReference r:id="rId3" w:type="default"/>
      <w:pgSz w:w="11906" w:h="16838"/>
      <w:pgMar w:top="1985" w:right="1134" w:bottom="1440" w:left="170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81B70">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8417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3BF2B061">
                          <w:pPr>
                            <w:pStyle w:val="7"/>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- 2 -</w:t>
                          </w:r>
                          <w:r>
                            <w:rPr>
                              <w:rFonts w:hint="eastAsia" w:ascii="宋体" w:hAnsi="宋体" w:cs="宋体"/>
                              <w:sz w:val="28"/>
                              <w:szCs w:val="28"/>
                            </w:rPr>
                            <w:fldChar w:fldCharType="end"/>
                          </w:r>
                        </w:p>
                        <w:p w14:paraId="68654763"/>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30.25pt;width:42.05pt;mso-position-horizontal:outside;mso-position-horizontal-relative:margin;mso-wrap-style:none;z-index:251659264;mso-width-relative:page;mso-height-relative:page;" filled="f" stroked="f" coordsize="21600,21600" o:gfxdata="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eQ6dEAAAADAQAADwAAAAAAAAABACAAAAAiAAAAZHJz&#10;L2Rvd25yZXYueG1sUEsBAhQAFAAAAAgAh07iQL3oI0ILAgAAAgQAAA4AAAAAAAAAAQAgAAAAIAEA&#10;AGRycy9lMm9Eb2MueG1sUEsFBgAAAAAGAAYAWQEAAJ0FAAAAAA==&#10;">
              <v:fill on="f" focussize="0,0"/>
              <v:stroke on="f"/>
              <v:imagedata o:title=""/>
              <o:lock v:ext="edit" aspectratio="f"/>
              <v:textbox inset="0mm,0mm,0mm,0mm" style="mso-fit-shape-to-text:t;">
                <w:txbxContent>
                  <w:p w14:paraId="3BF2B061">
                    <w:pPr>
                      <w:pStyle w:val="7"/>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- 2 -</w:t>
                    </w:r>
                    <w:r>
                      <w:rPr>
                        <w:rFonts w:hint="eastAsia" w:ascii="宋体" w:hAnsi="宋体" w:cs="宋体"/>
                        <w:sz w:val="28"/>
                        <w:szCs w:val="28"/>
                      </w:rPr>
                      <w:fldChar w:fldCharType="end"/>
                    </w:r>
                  </w:p>
                  <w:p w14:paraId="68654763"/>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5A"/>
    <w:rsid w:val="00003708"/>
    <w:rsid w:val="00036537"/>
    <w:rsid w:val="00080269"/>
    <w:rsid w:val="000959FC"/>
    <w:rsid w:val="00095A71"/>
    <w:rsid w:val="000B1C55"/>
    <w:rsid w:val="000C2908"/>
    <w:rsid w:val="000C2D2F"/>
    <w:rsid w:val="000D0155"/>
    <w:rsid w:val="000E5230"/>
    <w:rsid w:val="000E5B9A"/>
    <w:rsid w:val="000E640E"/>
    <w:rsid w:val="000F02CD"/>
    <w:rsid w:val="000F1EF7"/>
    <w:rsid w:val="001000CF"/>
    <w:rsid w:val="001023DA"/>
    <w:rsid w:val="00122C7E"/>
    <w:rsid w:val="001240B6"/>
    <w:rsid w:val="001241D6"/>
    <w:rsid w:val="001342E5"/>
    <w:rsid w:val="00155455"/>
    <w:rsid w:val="001605A3"/>
    <w:rsid w:val="001749C9"/>
    <w:rsid w:val="00191044"/>
    <w:rsid w:val="001A2255"/>
    <w:rsid w:val="001C4FF0"/>
    <w:rsid w:val="001E5C71"/>
    <w:rsid w:val="001F4357"/>
    <w:rsid w:val="00225FBE"/>
    <w:rsid w:val="00232232"/>
    <w:rsid w:val="00271925"/>
    <w:rsid w:val="0027498D"/>
    <w:rsid w:val="002A1895"/>
    <w:rsid w:val="002A7752"/>
    <w:rsid w:val="002B55AD"/>
    <w:rsid w:val="002C7984"/>
    <w:rsid w:val="002D495A"/>
    <w:rsid w:val="002D5360"/>
    <w:rsid w:val="002D5421"/>
    <w:rsid w:val="002E11FC"/>
    <w:rsid w:val="002F2BA0"/>
    <w:rsid w:val="002F2E35"/>
    <w:rsid w:val="002F4BBF"/>
    <w:rsid w:val="0030207A"/>
    <w:rsid w:val="00304317"/>
    <w:rsid w:val="00324B95"/>
    <w:rsid w:val="00335243"/>
    <w:rsid w:val="00335CF6"/>
    <w:rsid w:val="003543E2"/>
    <w:rsid w:val="00355235"/>
    <w:rsid w:val="003618CB"/>
    <w:rsid w:val="00363B58"/>
    <w:rsid w:val="00363E73"/>
    <w:rsid w:val="003650B7"/>
    <w:rsid w:val="00373E85"/>
    <w:rsid w:val="003A7B7F"/>
    <w:rsid w:val="003B1236"/>
    <w:rsid w:val="003C027D"/>
    <w:rsid w:val="003C2D63"/>
    <w:rsid w:val="003D2823"/>
    <w:rsid w:val="0040006E"/>
    <w:rsid w:val="00405E74"/>
    <w:rsid w:val="0041300E"/>
    <w:rsid w:val="00424599"/>
    <w:rsid w:val="00424827"/>
    <w:rsid w:val="00430699"/>
    <w:rsid w:val="00431E48"/>
    <w:rsid w:val="00433CBE"/>
    <w:rsid w:val="00433E57"/>
    <w:rsid w:val="00460169"/>
    <w:rsid w:val="00463562"/>
    <w:rsid w:val="00482F98"/>
    <w:rsid w:val="00496B4B"/>
    <w:rsid w:val="004A648A"/>
    <w:rsid w:val="004E7888"/>
    <w:rsid w:val="004F4CBD"/>
    <w:rsid w:val="005039CE"/>
    <w:rsid w:val="00511A13"/>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2D1F"/>
    <w:rsid w:val="006E424B"/>
    <w:rsid w:val="007006CB"/>
    <w:rsid w:val="00701A05"/>
    <w:rsid w:val="0070314F"/>
    <w:rsid w:val="0070359F"/>
    <w:rsid w:val="0073719D"/>
    <w:rsid w:val="00737507"/>
    <w:rsid w:val="007440BD"/>
    <w:rsid w:val="00745B07"/>
    <w:rsid w:val="00750A5F"/>
    <w:rsid w:val="00760129"/>
    <w:rsid w:val="00764E0E"/>
    <w:rsid w:val="00771B00"/>
    <w:rsid w:val="007A3F49"/>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449ED"/>
    <w:rsid w:val="00971049"/>
    <w:rsid w:val="009849F5"/>
    <w:rsid w:val="009A152B"/>
    <w:rsid w:val="009A5C88"/>
    <w:rsid w:val="009A7D7D"/>
    <w:rsid w:val="009D17A3"/>
    <w:rsid w:val="009D2684"/>
    <w:rsid w:val="00A03867"/>
    <w:rsid w:val="00A1386F"/>
    <w:rsid w:val="00A252D5"/>
    <w:rsid w:val="00A274C7"/>
    <w:rsid w:val="00A33ECC"/>
    <w:rsid w:val="00A57C25"/>
    <w:rsid w:val="00A633AF"/>
    <w:rsid w:val="00A65E1C"/>
    <w:rsid w:val="00A678D4"/>
    <w:rsid w:val="00A67E32"/>
    <w:rsid w:val="00A97562"/>
    <w:rsid w:val="00AC170F"/>
    <w:rsid w:val="00AD2762"/>
    <w:rsid w:val="00AF22D5"/>
    <w:rsid w:val="00B0275B"/>
    <w:rsid w:val="00B240A2"/>
    <w:rsid w:val="00B272A4"/>
    <w:rsid w:val="00B42C5A"/>
    <w:rsid w:val="00B51B49"/>
    <w:rsid w:val="00B552F0"/>
    <w:rsid w:val="00B635BB"/>
    <w:rsid w:val="00B74063"/>
    <w:rsid w:val="00BB0B3C"/>
    <w:rsid w:val="00BE1749"/>
    <w:rsid w:val="00C01722"/>
    <w:rsid w:val="00C1503B"/>
    <w:rsid w:val="00C20356"/>
    <w:rsid w:val="00C257C6"/>
    <w:rsid w:val="00C32665"/>
    <w:rsid w:val="00C44DFC"/>
    <w:rsid w:val="00C53039"/>
    <w:rsid w:val="00C543B8"/>
    <w:rsid w:val="00C55FF8"/>
    <w:rsid w:val="00C57970"/>
    <w:rsid w:val="00C73ADE"/>
    <w:rsid w:val="00C75EAA"/>
    <w:rsid w:val="00C820B6"/>
    <w:rsid w:val="00C843BC"/>
    <w:rsid w:val="00CB39F1"/>
    <w:rsid w:val="00CB5904"/>
    <w:rsid w:val="00CC7207"/>
    <w:rsid w:val="00CD164C"/>
    <w:rsid w:val="00CD72C8"/>
    <w:rsid w:val="00CE1A19"/>
    <w:rsid w:val="00CE2CC4"/>
    <w:rsid w:val="00CF5837"/>
    <w:rsid w:val="00CF7CE1"/>
    <w:rsid w:val="00D26ED4"/>
    <w:rsid w:val="00D355DD"/>
    <w:rsid w:val="00D45130"/>
    <w:rsid w:val="00D62384"/>
    <w:rsid w:val="00D751DA"/>
    <w:rsid w:val="00D87781"/>
    <w:rsid w:val="00DD3ED9"/>
    <w:rsid w:val="00DD6041"/>
    <w:rsid w:val="00DE359E"/>
    <w:rsid w:val="00DF639F"/>
    <w:rsid w:val="00E05A72"/>
    <w:rsid w:val="00E05B17"/>
    <w:rsid w:val="00E14A76"/>
    <w:rsid w:val="00E30997"/>
    <w:rsid w:val="00E31DE2"/>
    <w:rsid w:val="00E32327"/>
    <w:rsid w:val="00E4298F"/>
    <w:rsid w:val="00E53BB5"/>
    <w:rsid w:val="00E67C35"/>
    <w:rsid w:val="00E720A6"/>
    <w:rsid w:val="00E872E7"/>
    <w:rsid w:val="00EE0600"/>
    <w:rsid w:val="00EF6A6C"/>
    <w:rsid w:val="00F22718"/>
    <w:rsid w:val="00F25AED"/>
    <w:rsid w:val="00F3258A"/>
    <w:rsid w:val="00F356EB"/>
    <w:rsid w:val="00F37536"/>
    <w:rsid w:val="00F44EAC"/>
    <w:rsid w:val="00F476D9"/>
    <w:rsid w:val="00F61182"/>
    <w:rsid w:val="00F95726"/>
    <w:rsid w:val="00F95AF7"/>
    <w:rsid w:val="00FB5165"/>
    <w:rsid w:val="00FE2312"/>
    <w:rsid w:val="00FF373A"/>
    <w:rsid w:val="0A441220"/>
    <w:rsid w:val="0E3D04B1"/>
    <w:rsid w:val="283D1C51"/>
    <w:rsid w:val="2A9E33E1"/>
    <w:rsid w:val="2BA2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jc w:val="center"/>
      <w:outlineLvl w:val="0"/>
    </w:pPr>
    <w:rPr>
      <w:rFonts w:ascii="仿宋_GB2312" w:hAnsi="Times New Roman" w:eastAsia="仿宋_GB2312" w:cs="Times New Roman"/>
      <w:kern w:val="0"/>
      <w:sz w:val="28"/>
      <w:szCs w:val="20"/>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unhideWhenUsed/>
    <w:qFormat/>
    <w:uiPriority w:val="99"/>
    <w:pPr>
      <w:jc w:val="left"/>
    </w:pPr>
  </w:style>
  <w:style w:type="paragraph" w:styleId="4">
    <w:name w:val="Plain Text"/>
    <w:basedOn w:val="1"/>
    <w:link w:val="32"/>
    <w:qFormat/>
    <w:uiPriority w:val="0"/>
    <w:pPr>
      <w:spacing w:line="360" w:lineRule="auto"/>
      <w:ind w:firstLine="480" w:firstLineChars="200"/>
    </w:pPr>
    <w:rPr>
      <w:rFonts w:ascii="仿宋_GB2312" w:hAnsi="Times New Roman" w:eastAsia="宋体" w:cs="Times New Roman"/>
      <w:sz w:val="24"/>
      <w:szCs w:val="24"/>
    </w:rPr>
  </w:style>
  <w:style w:type="paragraph" w:styleId="5">
    <w:name w:val="Date"/>
    <w:basedOn w:val="1"/>
    <w:next w:val="1"/>
    <w:link w:val="19"/>
    <w:semiHidden/>
    <w:unhideWhenUsed/>
    <w:uiPriority w:val="99"/>
    <w:pPr>
      <w:ind w:left="100" w:leftChars="2500"/>
    </w:pPr>
  </w:style>
  <w:style w:type="paragraph" w:styleId="6">
    <w:name w:val="Balloon Text"/>
    <w:basedOn w:val="1"/>
    <w:link w:val="25"/>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3"/>
    <w:next w:val="3"/>
    <w:link w:val="21"/>
    <w:unhideWhenUsed/>
    <w:qFormat/>
    <w:uiPriority w:val="99"/>
    <w:rPr>
      <w:b/>
      <w:bCs/>
      <w:szCs w:val="24"/>
    </w:rPr>
  </w:style>
  <w:style w:type="table" w:styleId="12">
    <w:name w:val="Table Grid"/>
    <w:basedOn w:val="11"/>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styleId="16">
    <w:name w:val="annotation reference"/>
    <w:unhideWhenUsed/>
    <w:qFormat/>
    <w:uiPriority w:val="99"/>
    <w:rPr>
      <w:sz w:val="21"/>
      <w:szCs w:val="21"/>
    </w:rPr>
  </w:style>
  <w:style w:type="character" w:customStyle="1" w:styleId="17">
    <w:name w:val="页眉 字符1"/>
    <w:basedOn w:val="13"/>
    <w:link w:val="8"/>
    <w:qFormat/>
    <w:uiPriority w:val="99"/>
    <w:rPr>
      <w:sz w:val="18"/>
      <w:szCs w:val="18"/>
    </w:rPr>
  </w:style>
  <w:style w:type="character" w:customStyle="1" w:styleId="18">
    <w:name w:val="页脚 字符1"/>
    <w:basedOn w:val="13"/>
    <w:link w:val="7"/>
    <w:qFormat/>
    <w:uiPriority w:val="99"/>
    <w:rPr>
      <w:sz w:val="18"/>
      <w:szCs w:val="18"/>
    </w:rPr>
  </w:style>
  <w:style w:type="character" w:customStyle="1" w:styleId="19">
    <w:name w:val="日期 字符"/>
    <w:basedOn w:val="13"/>
    <w:link w:val="5"/>
    <w:qFormat/>
    <w:uiPriority w:val="0"/>
  </w:style>
  <w:style w:type="character" w:customStyle="1" w:styleId="20">
    <w:name w:val="标题 1 Char"/>
    <w:basedOn w:val="13"/>
    <w:qFormat/>
    <w:uiPriority w:val="9"/>
    <w:rPr>
      <w:b/>
      <w:bCs/>
      <w:kern w:val="44"/>
      <w:sz w:val="44"/>
      <w:szCs w:val="44"/>
    </w:rPr>
  </w:style>
  <w:style w:type="character" w:customStyle="1" w:styleId="21">
    <w:name w:val="批注主题 字符"/>
    <w:link w:val="10"/>
    <w:qFormat/>
    <w:uiPriority w:val="99"/>
    <w:rPr>
      <w:b/>
      <w:bCs/>
      <w:szCs w:val="24"/>
    </w:rPr>
  </w:style>
  <w:style w:type="character" w:customStyle="1" w:styleId="22">
    <w:name w:val="页眉 字符"/>
    <w:qFormat/>
    <w:uiPriority w:val="0"/>
    <w:rPr>
      <w:sz w:val="18"/>
      <w:szCs w:val="18"/>
    </w:rPr>
  </w:style>
  <w:style w:type="character" w:customStyle="1" w:styleId="23">
    <w:name w:val="页脚 字符"/>
    <w:qFormat/>
    <w:uiPriority w:val="99"/>
    <w:rPr>
      <w:sz w:val="18"/>
      <w:szCs w:val="18"/>
    </w:rPr>
  </w:style>
  <w:style w:type="character" w:customStyle="1" w:styleId="24">
    <w:name w:val="标题 1 字符"/>
    <w:link w:val="2"/>
    <w:qFormat/>
    <w:uiPriority w:val="0"/>
    <w:rPr>
      <w:rFonts w:ascii="仿宋_GB2312" w:hAnsi="Times New Roman" w:eastAsia="仿宋_GB2312" w:cs="Times New Roman"/>
      <w:kern w:val="0"/>
      <w:sz w:val="28"/>
      <w:szCs w:val="20"/>
    </w:rPr>
  </w:style>
  <w:style w:type="character" w:customStyle="1" w:styleId="25">
    <w:name w:val="批注框文本 字符"/>
    <w:link w:val="6"/>
    <w:qFormat/>
    <w:uiPriority w:val="99"/>
    <w:rPr>
      <w:sz w:val="18"/>
      <w:szCs w:val="18"/>
    </w:rPr>
  </w:style>
  <w:style w:type="character" w:customStyle="1" w:styleId="26">
    <w:name w:val="批注文字 字符"/>
    <w:semiHidden/>
    <w:qFormat/>
    <w:uiPriority w:val="99"/>
    <w:rPr>
      <w:kern w:val="2"/>
      <w:sz w:val="21"/>
      <w:szCs w:val="24"/>
    </w:rPr>
  </w:style>
  <w:style w:type="character" w:customStyle="1" w:styleId="27">
    <w:name w:val="font11"/>
    <w:qFormat/>
    <w:uiPriority w:val="0"/>
    <w:rPr>
      <w:rFonts w:hint="eastAsia" w:ascii="宋体" w:hAnsi="宋体" w:eastAsia="宋体" w:cs="宋体"/>
      <w:b/>
      <w:color w:val="000000"/>
      <w:sz w:val="32"/>
      <w:szCs w:val="32"/>
      <w:u w:val="none"/>
    </w:rPr>
  </w:style>
  <w:style w:type="character" w:customStyle="1" w:styleId="28">
    <w:name w:val="批注文字 字符1"/>
    <w:basedOn w:val="13"/>
    <w:link w:val="3"/>
    <w:semiHidden/>
    <w:qFormat/>
    <w:uiPriority w:val="99"/>
  </w:style>
  <w:style w:type="character" w:customStyle="1" w:styleId="29">
    <w:name w:val="批注主题 Char"/>
    <w:basedOn w:val="28"/>
    <w:semiHidden/>
    <w:qFormat/>
    <w:uiPriority w:val="99"/>
    <w:rPr>
      <w:b/>
      <w:bCs/>
    </w:rPr>
  </w:style>
  <w:style w:type="character" w:customStyle="1" w:styleId="30">
    <w:name w:val="批注框文本 Char"/>
    <w:basedOn w:val="13"/>
    <w:semiHidden/>
    <w:qFormat/>
    <w:uiPriority w:val="99"/>
    <w:rPr>
      <w:sz w:val="18"/>
      <w:szCs w:val="18"/>
    </w:rPr>
  </w:style>
  <w:style w:type="paragraph" w:customStyle="1" w:styleId="31">
    <w:name w:val="日期1"/>
    <w:basedOn w:val="1"/>
    <w:next w:val="1"/>
    <w:qFormat/>
    <w:uiPriority w:val="0"/>
    <w:pPr>
      <w:ind w:left="100" w:leftChars="2500"/>
    </w:pPr>
    <w:rPr>
      <w:rFonts w:ascii="Times New Roman" w:hAnsi="Times New Roman" w:eastAsia="宋体" w:cs="Times New Roman"/>
      <w:szCs w:val="24"/>
    </w:rPr>
  </w:style>
  <w:style w:type="character" w:customStyle="1" w:styleId="32">
    <w:name w:val="纯文本 字符"/>
    <w:basedOn w:val="13"/>
    <w:link w:val="4"/>
    <w:qFormat/>
    <w:uiPriority w:val="0"/>
    <w:rPr>
      <w:rFonts w:ascii="仿宋_GB2312" w:hAnsi="Times New Roman" w:eastAsia="宋体" w:cs="Times New Roman"/>
      <w:sz w:val="24"/>
      <w:szCs w:val="24"/>
    </w:rPr>
  </w:style>
  <w:style w:type="paragraph" w:customStyle="1" w:styleId="33">
    <w:name w:val="Char"/>
    <w:basedOn w:val="1"/>
    <w:qFormat/>
    <w:uiPriority w:val="0"/>
    <w:pPr>
      <w:tabs>
        <w:tab w:val="left" w:pos="425"/>
      </w:tabs>
      <w:ind w:left="425" w:hanging="425"/>
    </w:pPr>
    <w:rPr>
      <w:rFonts w:ascii="Times New Roman" w:hAnsi="Times New Roman" w:eastAsia="宋体" w:cs="Times New Roman"/>
      <w:szCs w:val="24"/>
    </w:rPr>
  </w:style>
  <w:style w:type="paragraph" w:customStyle="1" w:styleId="34">
    <w:name w:val="列出段落1"/>
    <w:basedOn w:val="1"/>
    <w:qFormat/>
    <w:uiPriority w:val="0"/>
    <w:pPr>
      <w:ind w:firstLine="420" w:firstLineChars="200"/>
    </w:pPr>
    <w:rPr>
      <w:rFonts w:ascii="Calibri" w:hAnsi="Calibri" w:eastAsia="宋体" w:cs="Times New Roman"/>
    </w:rPr>
  </w:style>
  <w:style w:type="paragraph" w:styleId="35">
    <w:name w:val="List Paragraph"/>
    <w:basedOn w:val="1"/>
    <w:qFormat/>
    <w:uiPriority w:val="34"/>
    <w:pPr>
      <w:ind w:firstLine="420" w:firstLineChars="200"/>
    </w:pPr>
  </w:style>
  <w:style w:type="paragraph" w:customStyle="1" w:styleId="36">
    <w:name w:val="olistparagraph"/>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customStyle="1" w:styleId="37">
    <w:name w:val="onormal"/>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38">
    <w:name w:val="纯文本 Char1"/>
    <w:qFormat/>
    <w:locked/>
    <w:uiPriority w:val="0"/>
    <w:rPr>
      <w:rFonts w:hint="eastAsia" w:ascii="仿宋_GB2312" w:hAnsi="Calibri" w:eastAsia="仿宋_GB2312"/>
      <w:kern w:val="2"/>
      <w:sz w:val="24"/>
      <w:szCs w:val="24"/>
    </w:rPr>
  </w:style>
  <w:style w:type="paragraph" w:customStyle="1" w:styleId="39">
    <w:name w:val="sonormal"/>
    <w:basedOn w:val="1"/>
    <w:qFormat/>
    <w:uiPriority w:val="0"/>
    <w:pPr>
      <w:spacing w:before="100" w:beforeAutospacing="1" w:after="100" w:afterAutospacing="1"/>
      <w:jc w:val="left"/>
    </w:pPr>
    <w:rPr>
      <w:rFonts w:ascii="Calibri" w:hAnsi="Calibri"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hps</Company>
  <Pages>3</Pages>
  <Words>3525</Words>
  <Characters>3916</Characters>
  <Lines>46</Lines>
  <Paragraphs>25</Paragraphs>
  <TotalTime>0</TotalTime>
  <ScaleCrop>false</ScaleCrop>
  <LinksUpToDate>false</LinksUpToDate>
  <CharactersWithSpaces>3963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2026-09-07T12:47:00Z</dcterms:created>
  <dc:creator>宋莎莎</dc:creator>
  <cp:lastModifiedBy>萧li</cp:lastModifiedBy>
  <cp:lastPrinted>2023-02-16T02:21:00Z</cp:lastPrinted>
  <dcterms:modified xsi:type="dcterms:W3CDTF">2026-09-10T05:20:35Z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eyJoZGlkIjoiOTcyYjlkOGJhOWU0ODdjOTcxYTlkMmE0M2Q4OGE0NTciLCJ1c2VySWQiOiIyNjY2Mjg5NDgifQ==</vt:lpwstr>
  </property>
  <property fmtid="{D5CDD505-2E9C-101B-9397-08002B2CF9AE}" pid="3" name="KSOProductBuildVer">
    <vt:lpwstr>2052-12.1.0.28505</vt:lpwstr>
  </property>
  <property fmtid="{D5CDD505-2E9C-101B-9397-08002B2CF9AE}" pid="4" name="ICV">
    <vt:lpwstr>CEB8316DF6C94805870F4325A02FC4FA_13</vt:lpwstr>
  </property>
</Properties>
</file>