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94AA86">
      <w:pPr>
        <w:pStyle w:val="2"/>
        <w:rPr>
          <w:rFonts w:ascii="宋体" w:hAnsi="宋体" w:eastAsia="宋体" w:cs="宋体"/>
          <w:b/>
          <w:bCs/>
          <w:sz w:val="36"/>
          <w:szCs w:val="36"/>
        </w:rPr>
      </w:pPr>
      <w:r>
        <w:rPr>
          <w:rFonts w:hint="eastAsia" w:ascii="Times New Roman" w:eastAsia="宋体"/>
          <w:b/>
          <w:bCs/>
          <w:sz w:val="36"/>
          <w:szCs w:val="36"/>
        </w:rPr>
        <w:t>202</w:t>
      </w:r>
      <w:r>
        <w:rPr>
          <w:rFonts w:hint="eastAsia" w:ascii="Times New Roman" w:eastAsia="宋体"/>
          <w:b/>
          <w:bCs/>
          <w:sz w:val="36"/>
          <w:szCs w:val="36"/>
          <w:lang w:val="en-US" w:eastAsia="zh-CN"/>
        </w:rPr>
        <w:t>6</w:t>
      </w:r>
      <w:r>
        <w:rPr>
          <w:rFonts w:hint="eastAsia" w:ascii="Times New Roman" w:eastAsia="宋体"/>
          <w:b/>
          <w:bCs/>
          <w:sz w:val="36"/>
          <w:szCs w:val="36"/>
        </w:rPr>
        <w:t>年自然资源科学技术奖</w:t>
      </w:r>
      <w:r>
        <w:rPr>
          <w:rFonts w:hint="eastAsia" w:ascii="宋体" w:hAnsi="宋体" w:eastAsia="宋体" w:cs="宋体"/>
          <w:b/>
          <w:bCs/>
          <w:sz w:val="36"/>
          <w:szCs w:val="36"/>
        </w:rPr>
        <w:t>公示表</w:t>
      </w:r>
    </w:p>
    <w:p w14:paraId="67C102F0"/>
    <w:tbl>
      <w:tblPr>
        <w:tblStyle w:val="11"/>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5"/>
        <w:gridCol w:w="7849"/>
      </w:tblGrid>
      <w:tr w14:paraId="71CCA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615" w:type="dxa"/>
            <w:vAlign w:val="center"/>
          </w:tcPr>
          <w:p w14:paraId="326D0F45">
            <w:pPr>
              <w:adjustRightInd w:val="0"/>
              <w:snapToGrid w:val="0"/>
              <w:jc w:val="center"/>
              <w:rPr>
                <w:rFonts w:ascii="仿宋" w:hAnsi="仿宋" w:eastAsia="仿宋"/>
                <w:b/>
                <w:bCs/>
              </w:rPr>
            </w:pPr>
            <w:r>
              <w:rPr>
                <w:rFonts w:hint="eastAsia" w:ascii="仿宋" w:hAnsi="仿宋" w:eastAsia="仿宋"/>
                <w:b/>
                <w:bCs/>
              </w:rPr>
              <w:t>项目名称</w:t>
            </w:r>
          </w:p>
        </w:tc>
        <w:tc>
          <w:tcPr>
            <w:tcW w:w="7849" w:type="dxa"/>
            <w:vAlign w:val="bottom"/>
          </w:tcPr>
          <w:p w14:paraId="37D2D1AC">
            <w:pPr>
              <w:spacing w:line="400" w:lineRule="exact"/>
              <w:ind w:firstLine="420" w:firstLineChars="200"/>
              <w:jc w:val="center"/>
              <w:rPr>
                <w:rFonts w:hint="eastAsia" w:ascii="仿宋" w:hAnsi="仿宋" w:eastAsia="仿宋"/>
                <w:lang w:val="en-US" w:eastAsia="zh-CN"/>
              </w:rPr>
            </w:pPr>
            <w:r>
              <w:rPr>
                <w:rFonts w:hint="eastAsia" w:ascii="仿宋" w:hAnsi="仿宋" w:eastAsia="仿宋"/>
                <w:lang w:val="en-US" w:eastAsia="zh-CN"/>
              </w:rPr>
              <w:t>钻采船超深水井控及隔水管系统集成开发与应用</w:t>
            </w:r>
          </w:p>
        </w:tc>
      </w:tr>
      <w:tr w14:paraId="4939C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615" w:type="dxa"/>
            <w:vAlign w:val="center"/>
          </w:tcPr>
          <w:p w14:paraId="3AE4F429">
            <w:pPr>
              <w:adjustRightInd w:val="0"/>
              <w:snapToGrid w:val="0"/>
              <w:jc w:val="center"/>
              <w:rPr>
                <w:rFonts w:ascii="仿宋" w:hAnsi="仿宋" w:eastAsia="仿宋"/>
                <w:b/>
                <w:bCs/>
              </w:rPr>
            </w:pPr>
            <w:r>
              <w:rPr>
                <w:rFonts w:hint="eastAsia" w:ascii="仿宋" w:hAnsi="仿宋" w:eastAsia="仿宋"/>
                <w:b/>
                <w:bCs/>
              </w:rPr>
              <w:t>申报奖项</w:t>
            </w:r>
          </w:p>
        </w:tc>
        <w:tc>
          <w:tcPr>
            <w:tcW w:w="7849" w:type="dxa"/>
            <w:vAlign w:val="center"/>
          </w:tcPr>
          <w:p w14:paraId="6BA37B1C">
            <w:pPr>
              <w:spacing w:line="400" w:lineRule="exact"/>
              <w:ind w:firstLine="420" w:firstLineChars="200"/>
              <w:jc w:val="center"/>
              <w:rPr>
                <w:rFonts w:hint="default" w:ascii="仿宋" w:hAnsi="仿宋" w:eastAsia="仿宋"/>
                <w:lang w:val="en-US" w:eastAsia="zh-CN"/>
              </w:rPr>
            </w:pPr>
            <w:r>
              <w:rPr>
                <w:rFonts w:hint="eastAsia" w:ascii="仿宋" w:hAnsi="仿宋" w:eastAsia="仿宋"/>
                <w:lang w:val="en-US" w:eastAsia="zh-CN"/>
              </w:rPr>
              <w:t>一等奖 或二等奖</w:t>
            </w:r>
          </w:p>
        </w:tc>
      </w:tr>
      <w:tr w14:paraId="55ACF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Align w:val="center"/>
          </w:tcPr>
          <w:p w14:paraId="2D17B260">
            <w:pPr>
              <w:snapToGrid w:val="0"/>
              <w:jc w:val="center"/>
              <w:rPr>
                <w:rFonts w:ascii="仿宋" w:hAnsi="仿宋" w:eastAsia="仿宋"/>
              </w:rPr>
            </w:pPr>
            <w:r>
              <w:rPr>
                <w:rFonts w:hint="eastAsia" w:ascii="仿宋" w:hAnsi="仿宋" w:eastAsia="仿宋"/>
                <w:b/>
                <w:bCs/>
              </w:rPr>
              <w:t>主要完成单位</w:t>
            </w:r>
          </w:p>
        </w:tc>
        <w:tc>
          <w:tcPr>
            <w:tcW w:w="7849" w:type="dxa"/>
            <w:vAlign w:val="center"/>
          </w:tcPr>
          <w:p w14:paraId="7D272F99">
            <w:pPr>
              <w:spacing w:line="400" w:lineRule="exact"/>
              <w:ind w:firstLine="420" w:firstLineChars="200"/>
              <w:jc w:val="center"/>
              <w:rPr>
                <w:rFonts w:hint="eastAsia" w:ascii="仿宋" w:hAnsi="仿宋" w:eastAsia="仿宋"/>
                <w:lang w:val="en-US" w:eastAsia="zh-CN"/>
              </w:rPr>
            </w:pPr>
            <w:r>
              <w:rPr>
                <w:rFonts w:hint="eastAsia" w:ascii="仿宋" w:hAnsi="仿宋" w:eastAsia="仿宋"/>
                <w:lang w:val="en-US" w:eastAsia="zh-CN"/>
              </w:rPr>
              <w:t>中船黄埔文冲船舶有限公司</w:t>
            </w:r>
          </w:p>
        </w:tc>
      </w:tr>
      <w:tr w14:paraId="04299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Align w:val="center"/>
          </w:tcPr>
          <w:p w14:paraId="3E87D355">
            <w:pPr>
              <w:snapToGrid w:val="0"/>
              <w:jc w:val="center"/>
              <w:rPr>
                <w:rFonts w:ascii="仿宋" w:hAnsi="仿宋" w:eastAsia="仿宋"/>
                <w:b/>
                <w:bCs/>
              </w:rPr>
            </w:pPr>
            <w:r>
              <w:rPr>
                <w:rFonts w:hint="eastAsia" w:ascii="仿宋" w:hAnsi="仿宋" w:eastAsia="仿宋"/>
                <w:b/>
                <w:bCs/>
              </w:rPr>
              <w:t>主要完成人</w:t>
            </w:r>
          </w:p>
        </w:tc>
        <w:tc>
          <w:tcPr>
            <w:tcW w:w="7849" w:type="dxa"/>
            <w:vAlign w:val="center"/>
          </w:tcPr>
          <w:p w14:paraId="79406841">
            <w:pPr>
              <w:spacing w:line="400" w:lineRule="exact"/>
              <w:ind w:firstLine="420" w:firstLineChars="200"/>
              <w:jc w:val="left"/>
              <w:rPr>
                <w:rFonts w:hint="eastAsia" w:ascii="仿宋" w:hAnsi="仿宋" w:eastAsia="仿宋_GB2312"/>
                <w:lang w:val="en-US" w:eastAsia="zh-CN"/>
              </w:rPr>
            </w:pPr>
            <w:r>
              <w:rPr>
                <w:rFonts w:hint="eastAsia" w:ascii="仿宋" w:hAnsi="仿宋" w:eastAsia="仿宋"/>
                <w:lang w:val="en-US" w:eastAsia="zh-CN"/>
              </w:rPr>
              <w:t>樊斌，陈婷婷，王耀，司停，孙锡志，刘崇喆，钟浩权，欧阳志良，刘亮，段谟簿，庄广全，李嘉欢，李云军，冯峙锦，刘强</w:t>
            </w:r>
          </w:p>
        </w:tc>
      </w:tr>
      <w:tr w14:paraId="68119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5" w:hRule="atLeast"/>
          <w:jc w:val="center"/>
        </w:trPr>
        <w:tc>
          <w:tcPr>
            <w:tcW w:w="1615" w:type="dxa"/>
            <w:vAlign w:val="center"/>
          </w:tcPr>
          <w:p w14:paraId="0218F1EC">
            <w:pPr>
              <w:snapToGrid w:val="0"/>
              <w:jc w:val="center"/>
              <w:rPr>
                <w:rFonts w:ascii="仿宋" w:hAnsi="仿宋" w:eastAsia="仿宋"/>
                <w:b/>
                <w:bCs/>
              </w:rPr>
            </w:pPr>
            <w:r>
              <w:rPr>
                <w:rFonts w:ascii="仿宋" w:hAnsi="仿宋" w:eastAsia="仿宋"/>
                <w:b/>
                <w:bCs/>
              </w:rPr>
              <w:t>推荐意见</w:t>
            </w:r>
          </w:p>
        </w:tc>
        <w:tc>
          <w:tcPr>
            <w:tcW w:w="7849" w:type="dxa"/>
            <w:vAlign w:val="center"/>
          </w:tcPr>
          <w:p w14:paraId="1C297B86">
            <w:pPr>
              <w:spacing w:line="400" w:lineRule="exact"/>
              <w:ind w:firstLine="420" w:firstLineChars="200"/>
              <w:jc w:val="left"/>
              <w:rPr>
                <w:rFonts w:hint="eastAsia" w:ascii="仿宋" w:hAnsi="仿宋" w:eastAsia="仿宋"/>
                <w:lang w:val="en-US" w:eastAsia="zh-CN"/>
              </w:rPr>
            </w:pPr>
            <w:r>
              <w:rPr>
                <w:rFonts w:hint="eastAsia" w:ascii="仿宋" w:hAnsi="仿宋" w:eastAsia="仿宋"/>
                <w:lang w:val="en-US" w:eastAsia="zh-CN"/>
              </w:rPr>
              <w:t>该项目成功应用于“梦想”号大洋钻探船，一并领受了习总书记重要贺信和被评为2024年央企十大国之重器之首。该技术成果在集成开发、国产化替代、装船布置、试验等方面进行攻克并取得优异成绩。</w:t>
            </w:r>
          </w:p>
          <w:p w14:paraId="356848A5">
            <w:pPr>
              <w:spacing w:line="400" w:lineRule="exact"/>
              <w:ind w:firstLine="420" w:firstLineChars="200"/>
              <w:jc w:val="left"/>
              <w:rPr>
                <w:rFonts w:hint="eastAsia" w:ascii="仿宋" w:hAnsi="仿宋" w:eastAsia="仿宋"/>
                <w:lang w:val="en-US" w:eastAsia="zh-CN"/>
              </w:rPr>
            </w:pPr>
            <w:r>
              <w:rPr>
                <w:rFonts w:hint="eastAsia" w:ascii="仿宋" w:hAnsi="仿宋" w:eastAsia="仿宋"/>
                <w:lang w:val="en-US" w:eastAsia="zh-CN"/>
              </w:rPr>
              <w:t>针对超深水钻采瓶颈，项目取得系列原创成果：首创深水井控自动混液与处理设计方案、全球领先的井控超高压系统多流量/多压力/多用户试压方法；优化防喷器-转喷器集成液压控制及隔水管应急悬挂方案；研发重大装备吊装安装新工艺；实现隔水管系统国产化替代，在国内首次完成“梦想”号大洋钻探船天然气水合物勘探试采及深海油气开发兼用的超深水井控设备及隔水管系统的装船建造和试验，填补国内技术空白，推动我国技术“自主输出”和加快技术创新，部分摆脱欧美的技术封锁和制裁打压，为南海神狐及珠江口盆地海域可燃冰试采和其他超深水气田开发提供核心装备保障，经济、社会效益十分显著。</w:t>
            </w:r>
          </w:p>
          <w:p w14:paraId="72F195E4">
            <w:pPr>
              <w:spacing w:line="400" w:lineRule="exact"/>
              <w:ind w:firstLine="420" w:firstLineChars="200"/>
              <w:jc w:val="left"/>
              <w:rPr>
                <w:rFonts w:hint="eastAsia" w:ascii="仿宋" w:hAnsi="仿宋" w:eastAsia="仿宋"/>
                <w:lang w:val="en-US" w:eastAsia="zh-CN"/>
              </w:rPr>
            </w:pPr>
            <w:r>
              <w:rPr>
                <w:rFonts w:hint="eastAsia" w:ascii="仿宋" w:hAnsi="仿宋" w:eastAsia="仿宋"/>
                <w:lang w:val="en-US" w:eastAsia="zh-CN"/>
              </w:rPr>
              <w:t>经科技成果鉴定：项目成果整体上达到国际先进水平。深水井控自动混液与处理设计方案和井控超高压系统多流量/多压力/多用户试压方法达到国际领先水平。</w:t>
            </w:r>
          </w:p>
          <w:p w14:paraId="7F719A80">
            <w:pPr>
              <w:spacing w:line="400" w:lineRule="exact"/>
              <w:ind w:firstLine="420" w:firstLineChars="200"/>
              <w:jc w:val="left"/>
              <w:rPr>
                <w:rFonts w:hint="eastAsia" w:ascii="仿宋" w:hAnsi="仿宋" w:eastAsia="仿宋"/>
                <w:lang w:val="en-US" w:eastAsia="zh-CN"/>
              </w:rPr>
            </w:pPr>
            <w:r>
              <w:rPr>
                <w:rFonts w:hint="eastAsia" w:ascii="仿宋" w:hAnsi="仿宋" w:eastAsia="仿宋"/>
                <w:lang w:val="en-US" w:eastAsia="zh-CN"/>
              </w:rPr>
              <w:t>相关知识产权情况为：受理国际发明专利1件；受理国家发明专利21件（授权11件）；授权实新专利5件；发表论文4篇（核心1篇）；发布标准5项。</w:t>
            </w:r>
          </w:p>
          <w:p w14:paraId="27B56B8C">
            <w:pPr>
              <w:spacing w:line="400" w:lineRule="exact"/>
              <w:ind w:firstLine="420" w:firstLineChars="200"/>
              <w:rPr>
                <w:rFonts w:hint="eastAsia" w:ascii="仿宋" w:hAnsi="仿宋" w:eastAsia="仿宋"/>
                <w:lang w:val="en-US" w:eastAsia="zh-CN"/>
              </w:rPr>
            </w:pPr>
            <w:r>
              <w:rPr>
                <w:rFonts w:hint="eastAsia" w:ascii="仿宋" w:hAnsi="仿宋" w:eastAsia="仿宋"/>
                <w:lang w:val="en-US" w:eastAsia="zh-CN"/>
              </w:rPr>
              <w:t>经确认，该项目符合自然资源科学技术奖条件，申报材料、主要完成单位、完成人组成及排序和前述内容的真实性属实。并按要求进行了公示，公示期满无异议，且不存在任何违反科研诚信和有关法律法规的情形。</w:t>
            </w:r>
          </w:p>
          <w:p w14:paraId="0D0B1A4F">
            <w:pPr>
              <w:spacing w:line="400" w:lineRule="exact"/>
              <w:ind w:firstLine="420" w:firstLineChars="200"/>
              <w:rPr>
                <w:rFonts w:hint="eastAsia" w:ascii="仿宋" w:hAnsi="仿宋" w:eastAsia="仿宋"/>
                <w:lang w:val="en-US" w:eastAsia="zh-CN"/>
              </w:rPr>
            </w:pPr>
            <w:r>
              <w:rPr>
                <w:rFonts w:hint="eastAsia" w:ascii="仿宋" w:hAnsi="仿宋" w:eastAsia="仿宋"/>
                <w:lang w:val="en-US" w:eastAsia="zh-CN"/>
              </w:rPr>
              <w:t>该项目技术创新性突出，技术难度大，应用效果显著，对行业科技进步推动作用重大，符合一等奖推荐条件。同意推荐</w:t>
            </w:r>
            <w:bookmarkStart w:id="0" w:name="_GoBack"/>
            <w:bookmarkEnd w:id="0"/>
            <w:r>
              <w:rPr>
                <w:rFonts w:hint="eastAsia" w:ascii="仿宋" w:hAnsi="仿宋" w:eastAsia="仿宋"/>
                <w:lang w:val="en-US" w:eastAsia="zh-CN"/>
              </w:rPr>
              <w:t>该项目申报自然资源科学技术奖一等奖。</w:t>
            </w:r>
          </w:p>
          <w:p w14:paraId="234AB4E4">
            <w:pPr>
              <w:spacing w:line="400" w:lineRule="exact"/>
              <w:ind w:firstLine="420" w:firstLineChars="200"/>
              <w:jc w:val="left"/>
              <w:rPr>
                <w:rFonts w:hint="eastAsia" w:ascii="仿宋" w:hAnsi="仿宋" w:eastAsia="仿宋"/>
                <w:lang w:val="en-US" w:eastAsia="zh-CN"/>
              </w:rPr>
            </w:pPr>
          </w:p>
          <w:p w14:paraId="62D26D41">
            <w:pPr>
              <w:spacing w:line="400" w:lineRule="exact"/>
              <w:ind w:firstLine="420" w:firstLineChars="200"/>
              <w:jc w:val="center"/>
              <w:rPr>
                <w:rFonts w:hint="eastAsia" w:ascii="仿宋" w:hAnsi="仿宋" w:eastAsia="仿宋"/>
                <w:lang w:val="en-US" w:eastAsia="zh-CN"/>
              </w:rPr>
            </w:pPr>
          </w:p>
        </w:tc>
      </w:tr>
      <w:tr w14:paraId="69F59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1" w:hRule="atLeast"/>
          <w:jc w:val="center"/>
        </w:trPr>
        <w:tc>
          <w:tcPr>
            <w:tcW w:w="1615" w:type="dxa"/>
            <w:vAlign w:val="center"/>
          </w:tcPr>
          <w:p w14:paraId="79B28928">
            <w:pPr>
              <w:snapToGrid w:val="0"/>
              <w:jc w:val="center"/>
              <w:rPr>
                <w:rFonts w:ascii="仿宋" w:hAnsi="仿宋" w:eastAsia="仿宋"/>
                <w:b/>
                <w:bCs/>
              </w:rPr>
            </w:pPr>
            <w:r>
              <w:rPr>
                <w:rFonts w:ascii="仿宋" w:hAnsi="仿宋" w:eastAsia="仿宋"/>
                <w:b/>
                <w:bCs/>
              </w:rPr>
              <w:t>成果简介</w:t>
            </w:r>
          </w:p>
        </w:tc>
        <w:tc>
          <w:tcPr>
            <w:tcW w:w="7849" w:type="dxa"/>
            <w:vAlign w:val="center"/>
          </w:tcPr>
          <w:p w14:paraId="48F4ECE9">
            <w:pPr>
              <w:keepNext w:val="0"/>
              <w:keepLines w:val="0"/>
              <w:widowControl/>
              <w:numPr>
                <w:ilvl w:val="0"/>
                <w:numId w:val="1"/>
              </w:numPr>
              <w:suppressLineNumbers w:val="0"/>
              <w:spacing w:before="50" w:beforeAutospacing="0" w:after="50" w:afterAutospacing="0"/>
              <w:ind w:left="0" w:right="0"/>
              <w:jc w:val="left"/>
              <w:rPr>
                <w:rFonts w:hint="eastAsia" w:ascii="仿宋" w:hAnsi="仿宋" w:eastAsia="仿宋" w:cs="仿宋"/>
                <w:kern w:val="0"/>
                <w:sz w:val="21"/>
                <w:szCs w:val="21"/>
                <w:lang w:val="en-US" w:eastAsia="zh-CN" w:bidi="ar"/>
              </w:rPr>
            </w:pPr>
            <w:r>
              <w:rPr>
                <w:rFonts w:hint="eastAsia" w:ascii="仿宋" w:hAnsi="仿宋" w:eastAsia="仿宋" w:cs="仿宋"/>
                <w:b/>
                <w:bCs/>
                <w:kern w:val="0"/>
                <w:sz w:val="21"/>
                <w:szCs w:val="21"/>
                <w:lang w:val="en-US" w:eastAsia="zh-CN" w:bidi="ar"/>
              </w:rPr>
              <w:t>技术领域</w:t>
            </w:r>
            <w:r>
              <w:rPr>
                <w:rFonts w:hint="eastAsia" w:ascii="仿宋" w:hAnsi="仿宋" w:eastAsia="仿宋" w:cs="仿宋"/>
                <w:kern w:val="0"/>
                <w:sz w:val="21"/>
                <w:szCs w:val="21"/>
                <w:lang w:val="en-US" w:eastAsia="zh-CN" w:bidi="ar"/>
              </w:rPr>
              <w:t>：</w:t>
            </w:r>
          </w:p>
          <w:p w14:paraId="5CAD2163">
            <w:pPr>
              <w:keepNext w:val="0"/>
              <w:keepLines w:val="0"/>
              <w:widowControl/>
              <w:suppressLineNumbers w:val="0"/>
              <w:shd w:val="clear" w:fill="FFFFFF"/>
              <w:spacing w:before="50" w:beforeAutospacing="0" w:after="50" w:afterAutospacing="0"/>
              <w:ind w:left="0" w:right="0" w:firstLine="480"/>
              <w:jc w:val="left"/>
              <w:rPr>
                <w:rFonts w:hint="eastAsia" w:ascii="仿宋" w:hAnsi="仿宋" w:eastAsia="仿宋" w:cs="仿宋"/>
                <w:kern w:val="0"/>
                <w:sz w:val="21"/>
                <w:szCs w:val="21"/>
                <w:shd w:val="clear" w:fill="FFFFFF"/>
                <w:lang w:val="en-US" w:eastAsia="zh-CN" w:bidi="ar"/>
              </w:rPr>
            </w:pPr>
            <w:r>
              <w:rPr>
                <w:rFonts w:hint="eastAsia" w:ascii="仿宋" w:hAnsi="仿宋" w:eastAsia="仿宋" w:cs="仿宋"/>
                <w:kern w:val="0"/>
                <w:sz w:val="21"/>
                <w:szCs w:val="21"/>
                <w:shd w:val="clear" w:fill="FFFFFF"/>
                <w:lang w:val="en-US" w:eastAsia="zh-CN" w:bidi="ar"/>
              </w:rPr>
              <w:t>本项目属高端海洋工程装备领域。</w:t>
            </w:r>
          </w:p>
          <w:p w14:paraId="01065A62">
            <w:pPr>
              <w:keepNext w:val="0"/>
              <w:keepLines w:val="0"/>
              <w:widowControl/>
              <w:suppressLineNumbers w:val="0"/>
              <w:spacing w:before="50" w:beforeAutospacing="0" w:after="50" w:afterAutospacing="0"/>
              <w:ind w:left="0" w:right="0"/>
              <w:jc w:val="left"/>
              <w:rPr>
                <w:rFonts w:hint="eastAsia" w:ascii="仿宋" w:hAnsi="仿宋" w:eastAsia="仿宋" w:cs="仿宋"/>
              </w:rPr>
            </w:pPr>
            <w:r>
              <w:rPr>
                <w:rFonts w:hint="eastAsia" w:ascii="仿宋" w:hAnsi="仿宋" w:eastAsia="仿宋" w:cs="仿宋"/>
                <w:b/>
                <w:bCs/>
                <w:kern w:val="0"/>
                <w:sz w:val="21"/>
                <w:szCs w:val="21"/>
                <w:lang w:val="en-US" w:eastAsia="zh-CN" w:bidi="ar"/>
              </w:rPr>
              <w:t>二、立项背景</w:t>
            </w:r>
          </w:p>
          <w:p w14:paraId="240B0F9D">
            <w:pPr>
              <w:keepNext w:val="0"/>
              <w:keepLines w:val="0"/>
              <w:widowControl/>
              <w:suppressLineNumbers w:val="0"/>
              <w:shd w:val="clear" w:fill="FFFFFF"/>
              <w:spacing w:before="50" w:beforeAutospacing="0" w:after="50" w:afterAutospacing="0"/>
              <w:ind w:left="0" w:right="0" w:firstLine="480"/>
              <w:jc w:val="left"/>
              <w:rPr>
                <w:rFonts w:hint="eastAsia" w:ascii="仿宋" w:hAnsi="仿宋" w:eastAsia="仿宋" w:cs="仿宋"/>
              </w:rPr>
            </w:pPr>
            <w:r>
              <w:rPr>
                <w:rFonts w:hint="eastAsia" w:ascii="仿宋" w:hAnsi="仿宋" w:eastAsia="仿宋" w:cs="仿宋"/>
                <w:kern w:val="0"/>
                <w:sz w:val="21"/>
                <w:szCs w:val="21"/>
                <w:shd w:val="clear" w:fill="FFFFFF"/>
                <w:lang w:val="en-US" w:eastAsia="zh-CN" w:bidi="ar"/>
              </w:rPr>
              <w:t>本项目来源于工信部、广东省自然资源厅等科研项目，依托习总书记亲自部署的国家重点规划项目--“梦想”号大洋钻探船进行开发集成。超深水井控及隔水管系统作为该国产钻探船的关键系统，需要兼顾天然气水合物勘探试采和深海油气等功能，为国际上首次集成应用。相关技术长期被美国技术封锁和打压，亟需破解装备受制困局，保障国家能源安全，突破“卡脖子”技术，解决工程适配难题，支撑国家战略实施，抢占深水开发制高点。</w:t>
            </w:r>
          </w:p>
          <w:p w14:paraId="134BFF86">
            <w:pPr>
              <w:keepNext w:val="0"/>
              <w:keepLines w:val="0"/>
              <w:widowControl/>
              <w:suppressLineNumbers w:val="0"/>
              <w:spacing w:before="50" w:beforeAutospacing="0" w:after="50" w:afterAutospacing="0"/>
              <w:ind w:left="0" w:right="0"/>
              <w:jc w:val="left"/>
              <w:rPr>
                <w:rFonts w:hint="eastAsia" w:ascii="仿宋" w:hAnsi="仿宋" w:eastAsia="仿宋" w:cs="仿宋"/>
              </w:rPr>
            </w:pPr>
            <w:r>
              <w:rPr>
                <w:rFonts w:hint="eastAsia" w:ascii="仿宋" w:hAnsi="仿宋" w:eastAsia="仿宋" w:cs="仿宋"/>
                <w:b/>
                <w:bCs/>
                <w:kern w:val="0"/>
                <w:sz w:val="21"/>
                <w:szCs w:val="21"/>
                <w:lang w:val="en-US" w:eastAsia="zh-CN" w:bidi="ar"/>
              </w:rPr>
              <w:t>三、研究目标</w:t>
            </w:r>
          </w:p>
          <w:p w14:paraId="2EDE2DB2">
            <w:pPr>
              <w:keepNext w:val="0"/>
              <w:keepLines w:val="0"/>
              <w:widowControl/>
              <w:suppressLineNumbers w:val="0"/>
              <w:shd w:val="clear" w:fill="FFFFFF"/>
              <w:spacing w:before="50" w:beforeAutospacing="0" w:after="50" w:afterAutospacing="0"/>
              <w:ind w:left="0" w:right="0" w:firstLine="480"/>
              <w:jc w:val="left"/>
              <w:rPr>
                <w:rFonts w:hint="eastAsia" w:ascii="仿宋" w:hAnsi="仿宋" w:eastAsia="仿宋" w:cs="仿宋"/>
              </w:rPr>
            </w:pPr>
            <w:r>
              <w:rPr>
                <w:rFonts w:hint="eastAsia" w:ascii="仿宋" w:hAnsi="仿宋" w:eastAsia="仿宋" w:cs="仿宋"/>
                <w:kern w:val="0"/>
                <w:sz w:val="21"/>
                <w:szCs w:val="21"/>
                <w:shd w:val="clear" w:fill="FFFFFF"/>
                <w:lang w:val="en-US" w:eastAsia="zh-CN" w:bidi="ar"/>
              </w:rPr>
              <w:t>本项目通过攻克因船固有运动特性导致的隔水管深海适应性弱、多样化高压试压需求的精确适配与高效调控、多区域分布式试压点的同步作业与集中管理等技术难题，实现天然气水合物勘探试采和深海油气开发兼用的船用超深水井控及隔水管系统的集成开发、装船建造及试验，落实超深水隔水管国产化替代及批量应用，为我国自主实施天然气水合物勘查试采、深海油气开发和大洋钻探提供关键技术支撑，部分摆脱欧美对我国深水钻采装备领域的技术封锁和打压，推动产业链供应链国产化，并为后续我国深水钻采船型设计建造全阶段技术自主可控奠定基础，填补我国该类型船舶建造的技术空白，带动我国高端船舶制造业及海工装备的高质量跨越式发展。</w:t>
            </w:r>
            <w:r>
              <w:rPr>
                <w:rFonts w:hint="eastAsia" w:ascii="仿宋" w:hAnsi="仿宋" w:eastAsia="仿宋" w:cs="仿宋"/>
                <w:color w:val="auto"/>
                <w:kern w:val="0"/>
                <w:szCs w:val="24"/>
                <w:highlight w:val="none"/>
              </w:rPr>
              <w:t>此外，本项目也为其他空间狭窄船舶的设计/建造提供重要的参考价值。</w:t>
            </w:r>
          </w:p>
          <w:p w14:paraId="75CD9EB9">
            <w:pPr>
              <w:keepNext w:val="0"/>
              <w:keepLines w:val="0"/>
              <w:widowControl/>
              <w:suppressLineNumbers w:val="0"/>
              <w:spacing w:before="50" w:beforeAutospacing="0" w:after="50" w:afterAutospacing="0"/>
              <w:ind w:left="0" w:right="0"/>
              <w:jc w:val="left"/>
              <w:rPr>
                <w:rFonts w:hint="eastAsia" w:ascii="仿宋" w:hAnsi="仿宋" w:eastAsia="仿宋" w:cs="仿宋"/>
              </w:rPr>
            </w:pPr>
            <w:r>
              <w:rPr>
                <w:rFonts w:hint="eastAsia" w:ascii="仿宋" w:hAnsi="仿宋" w:eastAsia="仿宋" w:cs="仿宋"/>
                <w:b/>
                <w:bCs/>
                <w:kern w:val="0"/>
                <w:sz w:val="21"/>
                <w:szCs w:val="21"/>
                <w:lang w:val="en-US" w:eastAsia="zh-CN" w:bidi="ar"/>
              </w:rPr>
              <w:t>四、技术创新点：</w:t>
            </w:r>
          </w:p>
          <w:p w14:paraId="3E5C32B5">
            <w:pPr>
              <w:keepNext w:val="0"/>
              <w:keepLines w:val="0"/>
              <w:widowControl/>
              <w:suppressLineNumbers w:val="0"/>
              <w:shd w:val="clear" w:fill="FFFFFF"/>
              <w:spacing w:before="50" w:beforeAutospacing="0" w:after="50" w:afterAutospacing="0"/>
              <w:ind w:left="0" w:right="0" w:firstLine="480"/>
              <w:jc w:val="left"/>
              <w:rPr>
                <w:rFonts w:hint="eastAsia" w:ascii="仿宋" w:hAnsi="仿宋" w:eastAsia="仿宋" w:cs="仿宋"/>
              </w:rPr>
            </w:pPr>
            <w:r>
              <w:rPr>
                <w:rFonts w:hint="eastAsia" w:ascii="仿宋" w:hAnsi="仿宋" w:eastAsia="仿宋" w:cs="仿宋"/>
                <w:kern w:val="0"/>
                <w:sz w:val="21"/>
                <w:szCs w:val="21"/>
                <w:shd w:val="clear" w:fill="FFFFFF"/>
                <w:lang w:val="en-US" w:eastAsia="zh-CN" w:bidi="ar"/>
              </w:rPr>
              <w:t>（1）首次提出基于船体运动耦合的船用超深水隔水管系统作业窗口优化与应急硬悬挂设计方法，开展了水下防喷器组轻量化设计，攻克因船固有运动特性导致的隔水管深海适应性弱等难题，实现了钻井船超深水井控及隔水管系统的集成应用。</w:t>
            </w:r>
          </w:p>
          <w:p w14:paraId="7DB7C05B">
            <w:pPr>
              <w:keepNext w:val="0"/>
              <w:keepLines w:val="0"/>
              <w:widowControl/>
              <w:suppressLineNumbers w:val="0"/>
              <w:shd w:val="clear" w:fill="FFFFFF"/>
              <w:spacing w:before="50" w:beforeAutospacing="0" w:after="50" w:afterAutospacing="0"/>
              <w:ind w:left="0" w:right="0" w:firstLine="480"/>
              <w:jc w:val="left"/>
              <w:rPr>
                <w:rFonts w:hint="eastAsia" w:ascii="仿宋" w:hAnsi="仿宋" w:eastAsia="仿宋" w:cs="仿宋"/>
              </w:rPr>
            </w:pPr>
            <w:r>
              <w:rPr>
                <w:rFonts w:hint="eastAsia" w:ascii="仿宋" w:hAnsi="仿宋" w:eastAsia="仿宋" w:cs="仿宋"/>
                <w:kern w:val="0"/>
                <w:sz w:val="21"/>
                <w:szCs w:val="21"/>
                <w:shd w:val="clear" w:fill="FFFFFF"/>
                <w:lang w:val="en-US" w:eastAsia="zh-CN" w:bidi="ar"/>
              </w:rPr>
              <w:t>（2）针对超深水隔水管系统焊接接头质量稳定性低及焊后性能差等技术难题，突破了X80高强钢管焊接、组装及试验等关键技术，实现了隔水管及配套件的国产化替代并批量应用。</w:t>
            </w:r>
          </w:p>
          <w:p w14:paraId="5CDCA27D">
            <w:pPr>
              <w:keepNext w:val="0"/>
              <w:keepLines w:val="0"/>
              <w:widowControl/>
              <w:suppressLineNumbers w:val="0"/>
              <w:shd w:val="clear" w:fill="FFFFFF"/>
              <w:spacing w:before="50" w:beforeAutospacing="0" w:after="50" w:afterAutospacing="0"/>
              <w:ind w:left="0" w:right="0" w:firstLine="480"/>
              <w:jc w:val="left"/>
              <w:rPr>
                <w:rFonts w:hint="eastAsia" w:ascii="仿宋" w:hAnsi="仿宋" w:eastAsia="仿宋" w:cs="仿宋"/>
              </w:rPr>
            </w:pPr>
            <w:r>
              <w:rPr>
                <w:rFonts w:hint="eastAsia" w:ascii="仿宋" w:hAnsi="仿宋" w:eastAsia="仿宋" w:cs="仿宋"/>
                <w:kern w:val="0"/>
                <w:sz w:val="21"/>
                <w:szCs w:val="21"/>
                <w:shd w:val="clear" w:fill="FFFFFF"/>
                <w:lang w:val="en-US" w:eastAsia="zh-CN" w:bidi="ar"/>
              </w:rPr>
              <w:t>（3）首创深水井控自动混液与处理设计方案，解决了井控系统控制液易污染、配比不稳定等难题，硬度值比国标要求优73%，可靠性提高了25%。</w:t>
            </w:r>
          </w:p>
          <w:p w14:paraId="16CF007E">
            <w:pPr>
              <w:keepNext w:val="0"/>
              <w:keepLines w:val="0"/>
              <w:widowControl/>
              <w:suppressLineNumbers w:val="0"/>
              <w:shd w:val="clear" w:fill="FFFFFF"/>
              <w:spacing w:before="50" w:beforeAutospacing="0" w:after="50" w:afterAutospacing="0"/>
              <w:ind w:left="0" w:right="0" w:firstLine="480"/>
              <w:jc w:val="left"/>
              <w:rPr>
                <w:rFonts w:hint="eastAsia" w:ascii="仿宋" w:hAnsi="仿宋" w:eastAsia="仿宋" w:cs="仿宋"/>
              </w:rPr>
            </w:pPr>
            <w:r>
              <w:rPr>
                <w:rFonts w:hint="eastAsia" w:ascii="仿宋" w:hAnsi="仿宋" w:eastAsia="仿宋" w:cs="仿宋"/>
                <w:kern w:val="0"/>
                <w:sz w:val="21"/>
                <w:szCs w:val="21"/>
                <w:shd w:val="clear" w:fill="FFFFFF"/>
                <w:lang w:val="en-US" w:eastAsia="zh-CN" w:bidi="ar"/>
              </w:rPr>
              <w:t>（4）创新提出井控超高压系统多流量/多压力/多用户试压方法，解决了多样化高压试压需求的精确适配与高效调控、多区域分布式试压点的同步作业与集中管理等技术难题，试压范围覆盖增加了70%，试压时间缩短了30%。</w:t>
            </w:r>
          </w:p>
          <w:p w14:paraId="6465D327">
            <w:pPr>
              <w:keepNext w:val="0"/>
              <w:keepLines w:val="0"/>
              <w:widowControl/>
              <w:suppressLineNumbers w:val="0"/>
              <w:spacing w:before="50" w:beforeAutospacing="0" w:after="50" w:afterAutospacing="0"/>
              <w:ind w:left="0" w:right="0"/>
              <w:jc w:val="left"/>
              <w:rPr>
                <w:rFonts w:hint="eastAsia" w:ascii="仿宋" w:hAnsi="仿宋" w:eastAsia="仿宋" w:cs="仿宋"/>
                <w:b/>
                <w:bCs/>
                <w:kern w:val="0"/>
                <w:sz w:val="21"/>
                <w:szCs w:val="21"/>
                <w:lang w:val="en-US" w:eastAsia="zh-CN" w:bidi="ar"/>
              </w:rPr>
            </w:pPr>
            <w:r>
              <w:rPr>
                <w:rFonts w:hint="eastAsia" w:ascii="仿宋" w:hAnsi="仿宋" w:eastAsia="仿宋" w:cs="仿宋"/>
                <w:b/>
                <w:bCs/>
                <w:kern w:val="0"/>
                <w:sz w:val="21"/>
                <w:szCs w:val="21"/>
                <w:lang w:val="en-US" w:eastAsia="zh-CN" w:bidi="ar"/>
              </w:rPr>
              <w:t>五、知识产权情况：</w:t>
            </w:r>
          </w:p>
          <w:p w14:paraId="4BC64360">
            <w:pPr>
              <w:keepNext w:val="0"/>
              <w:keepLines w:val="0"/>
              <w:widowControl/>
              <w:suppressLineNumbers w:val="0"/>
              <w:spacing w:before="50" w:beforeAutospacing="0" w:after="50" w:afterAutospacing="0"/>
              <w:ind w:left="0" w:right="0" w:firstLine="413"/>
              <w:jc w:val="left"/>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受理国际发明专利1件；受理国家发明专利21件（授权11件）；授权实新专利5件；发表论文4篇（核心1篇）；发布标准5项。</w:t>
            </w:r>
          </w:p>
          <w:p w14:paraId="3F7F8173">
            <w:pPr>
              <w:keepNext w:val="0"/>
              <w:keepLines w:val="0"/>
              <w:widowControl/>
              <w:suppressLineNumbers w:val="0"/>
              <w:spacing w:before="50" w:beforeAutospacing="0" w:after="50" w:afterAutospacing="0"/>
              <w:ind w:left="0" w:right="0"/>
              <w:jc w:val="left"/>
              <w:rPr>
                <w:rFonts w:hint="eastAsia" w:ascii="仿宋" w:hAnsi="仿宋" w:eastAsia="仿宋" w:cs="仿宋"/>
              </w:rPr>
            </w:pPr>
            <w:r>
              <w:rPr>
                <w:rFonts w:hint="eastAsia" w:ascii="仿宋" w:hAnsi="仿宋" w:eastAsia="仿宋" w:cs="仿宋"/>
                <w:b/>
                <w:bCs/>
                <w:kern w:val="0"/>
                <w:sz w:val="21"/>
                <w:szCs w:val="21"/>
                <w:lang w:val="en-US" w:eastAsia="zh-CN" w:bidi="ar"/>
              </w:rPr>
              <w:t>六、技术水平</w:t>
            </w:r>
          </w:p>
          <w:p w14:paraId="2E7A9B5D">
            <w:pPr>
              <w:keepNext w:val="0"/>
              <w:keepLines w:val="0"/>
              <w:widowControl/>
              <w:suppressLineNumbers w:val="0"/>
              <w:spacing w:before="50" w:beforeAutospacing="0" w:after="50" w:afterAutospacing="0"/>
              <w:ind w:left="0" w:right="0" w:firstLine="413"/>
              <w:jc w:val="left"/>
              <w:rPr>
                <w:rFonts w:hint="eastAsia" w:ascii="仿宋" w:hAnsi="仿宋" w:eastAsia="仿宋" w:cs="仿宋"/>
              </w:rPr>
            </w:pPr>
            <w:r>
              <w:rPr>
                <w:rFonts w:hint="eastAsia" w:ascii="仿宋" w:hAnsi="仿宋" w:eastAsia="仿宋" w:cs="仿宋"/>
                <w:kern w:val="0"/>
                <w:sz w:val="21"/>
                <w:szCs w:val="21"/>
                <w:lang w:val="en-US" w:eastAsia="zh-CN" w:bidi="ar"/>
              </w:rPr>
              <w:t>评价专家组认为项目成果整体上达到国际先进水平。深水井控自动混液与处理设计方案和井控超高压系统多流量/多压力/多用户试压方法达到国际领先水平。</w:t>
            </w:r>
          </w:p>
          <w:p w14:paraId="4938A4DA">
            <w:pPr>
              <w:keepNext w:val="0"/>
              <w:keepLines w:val="0"/>
              <w:widowControl/>
              <w:suppressLineNumbers w:val="0"/>
              <w:spacing w:before="50" w:beforeAutospacing="0" w:after="50" w:afterAutospacing="0"/>
              <w:ind w:left="0" w:right="0"/>
              <w:jc w:val="left"/>
              <w:rPr>
                <w:rFonts w:hint="eastAsia" w:ascii="仿宋" w:hAnsi="仿宋" w:eastAsia="仿宋" w:cs="仿宋"/>
              </w:rPr>
            </w:pPr>
            <w:r>
              <w:rPr>
                <w:rFonts w:hint="eastAsia" w:ascii="仿宋" w:hAnsi="仿宋" w:eastAsia="仿宋" w:cs="仿宋"/>
                <w:b/>
                <w:bCs/>
                <w:kern w:val="0"/>
                <w:sz w:val="21"/>
                <w:szCs w:val="21"/>
                <w:lang w:val="en-US" w:eastAsia="zh-CN" w:bidi="ar"/>
              </w:rPr>
              <w:t>七、应用情况和效益</w:t>
            </w:r>
          </w:p>
          <w:p w14:paraId="6A0FEEA9">
            <w:pPr>
              <w:keepNext w:val="0"/>
              <w:keepLines w:val="0"/>
              <w:widowControl/>
              <w:suppressLineNumbers w:val="0"/>
              <w:spacing w:before="50" w:beforeAutospacing="0" w:after="50" w:afterAutospacing="0"/>
              <w:ind w:left="0" w:right="0" w:firstLine="480"/>
              <w:jc w:val="left"/>
              <w:rPr>
                <w:rFonts w:hint="eastAsia" w:ascii="仿宋" w:hAnsi="仿宋" w:eastAsia="仿宋" w:cs="仿宋"/>
              </w:rPr>
            </w:pPr>
            <w:r>
              <w:rPr>
                <w:rFonts w:hint="eastAsia" w:ascii="仿宋" w:hAnsi="仿宋" w:eastAsia="仿宋" w:cs="仿宋"/>
                <w:kern w:val="0"/>
                <w:sz w:val="21"/>
                <w:szCs w:val="21"/>
                <w:lang w:val="en-US" w:eastAsia="zh-CN" w:bidi="ar"/>
              </w:rPr>
              <w:t>项目成功应用于“梦想”号大洋钻探船，一并领受了习总书记重要贺信和被评为2024年央企十大国之重器之首。项目关键技术自主可控，完成隔水管等国内制造采购金额2个多亿元，部分摆脱欧美的技术封锁和打压，形成覆盖设计-建造-调试的部分自主技术体系，显著提升深水钻采效率与安全性，为南海神狐等海域可燃冰试采和其他超深水气田开发提供核心装备保障，经济、社会效益十分显著，推广应用前景广阔。</w:t>
            </w:r>
          </w:p>
          <w:p w14:paraId="3D99FD26">
            <w:pPr>
              <w:spacing w:line="400" w:lineRule="exact"/>
              <w:ind w:firstLine="420" w:firstLineChars="200"/>
              <w:rPr>
                <w:rFonts w:hint="eastAsia" w:ascii="仿宋" w:hAnsi="仿宋" w:eastAsia="仿宋"/>
                <w:lang w:val="en-US" w:eastAsia="zh-CN"/>
              </w:rPr>
            </w:pPr>
          </w:p>
        </w:tc>
      </w:tr>
      <w:tr w14:paraId="73B58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9" w:hRule="atLeast"/>
          <w:jc w:val="center"/>
        </w:trPr>
        <w:tc>
          <w:tcPr>
            <w:tcW w:w="1615" w:type="dxa"/>
            <w:vAlign w:val="center"/>
          </w:tcPr>
          <w:p w14:paraId="248F21D6">
            <w:pPr>
              <w:snapToGrid w:val="0"/>
              <w:jc w:val="center"/>
              <w:rPr>
                <w:rFonts w:ascii="仿宋" w:hAnsi="仿宋" w:eastAsia="仿宋"/>
                <w:b/>
                <w:bCs/>
              </w:rPr>
            </w:pPr>
            <w:r>
              <w:rPr>
                <w:rFonts w:ascii="仿宋" w:hAnsi="仿宋" w:eastAsia="仿宋"/>
                <w:b/>
                <w:bCs/>
              </w:rPr>
              <w:t>客观评价</w:t>
            </w:r>
          </w:p>
        </w:tc>
        <w:tc>
          <w:tcPr>
            <w:tcW w:w="7849" w:type="dxa"/>
            <w:vAlign w:val="center"/>
          </w:tcPr>
          <w:p w14:paraId="201148D6">
            <w:pPr>
              <w:spacing w:line="400" w:lineRule="exact"/>
              <w:ind w:firstLine="420" w:firstLineChars="200"/>
              <w:rPr>
                <w:rFonts w:ascii="仿宋" w:hAnsi="仿宋" w:eastAsia="仿宋"/>
              </w:rPr>
            </w:pPr>
            <w:r>
              <w:rPr>
                <w:rFonts w:hint="eastAsia" w:ascii="仿宋" w:hAnsi="仿宋" w:eastAsia="仿宋"/>
                <w:lang w:val="en-US" w:eastAsia="zh-CN"/>
              </w:rPr>
              <w:t>项目成果整体上达到国际先进水平。深水井控自动混液与处理设计方案和井控超高压系统多流量/多压力/多用户试压方法达到国际领先水平。</w:t>
            </w:r>
          </w:p>
        </w:tc>
      </w:tr>
      <w:tr w14:paraId="34E23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Merge w:val="restart"/>
            <w:vAlign w:val="center"/>
          </w:tcPr>
          <w:p w14:paraId="51AAA415">
            <w:pPr>
              <w:snapToGrid w:val="0"/>
              <w:jc w:val="center"/>
              <w:rPr>
                <w:rFonts w:ascii="仿宋" w:hAnsi="仿宋" w:eastAsia="仿宋"/>
                <w:b/>
                <w:bCs/>
              </w:rPr>
            </w:pPr>
            <w:r>
              <w:rPr>
                <w:rFonts w:ascii="仿宋" w:hAnsi="仿宋" w:eastAsia="仿宋"/>
                <w:b/>
                <w:bCs/>
              </w:rPr>
              <w:t>主要知识产权目录</w:t>
            </w:r>
          </w:p>
        </w:tc>
        <w:tc>
          <w:tcPr>
            <w:tcW w:w="7849" w:type="dxa"/>
            <w:vAlign w:val="center"/>
          </w:tcPr>
          <w:p w14:paraId="76F3C7DA">
            <w:pPr>
              <w:pStyle w:val="4"/>
              <w:spacing w:line="240" w:lineRule="auto"/>
              <w:ind w:firstLine="0" w:firstLineChars="0"/>
              <w:jc w:val="left"/>
              <w:rPr>
                <w:rFonts w:hint="default" w:ascii="宋体" w:eastAsia="宋体"/>
                <w:color w:val="000000"/>
                <w:sz w:val="21"/>
                <w:szCs w:val="21"/>
                <w:lang w:val="en-US" w:eastAsia="zh-CN"/>
              </w:rPr>
            </w:pPr>
            <w:r>
              <w:rPr>
                <w:rFonts w:hint="eastAsia" w:ascii="宋体"/>
                <w:color w:val="000000"/>
                <w:sz w:val="21"/>
                <w:szCs w:val="21"/>
                <w:lang w:val="en-US" w:eastAsia="zh-CN"/>
              </w:rPr>
              <w:t>1、发明专利ZL202310612679.9一种防喷器布置设计方法</w:t>
            </w:r>
          </w:p>
        </w:tc>
      </w:tr>
      <w:tr w14:paraId="73E5F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Merge w:val="continue"/>
            <w:vAlign w:val="center"/>
          </w:tcPr>
          <w:p w14:paraId="4361B882">
            <w:pPr>
              <w:snapToGrid w:val="0"/>
              <w:jc w:val="center"/>
              <w:rPr>
                <w:rFonts w:ascii="仿宋" w:hAnsi="仿宋" w:eastAsia="仿宋"/>
                <w:b/>
                <w:bCs/>
              </w:rPr>
            </w:pPr>
          </w:p>
        </w:tc>
        <w:tc>
          <w:tcPr>
            <w:tcW w:w="7849" w:type="dxa"/>
            <w:vAlign w:val="center"/>
          </w:tcPr>
          <w:p w14:paraId="173BCAE6">
            <w:pPr>
              <w:pStyle w:val="4"/>
              <w:spacing w:line="240" w:lineRule="auto"/>
              <w:ind w:firstLine="0" w:firstLineChars="0"/>
              <w:jc w:val="left"/>
              <w:rPr>
                <w:rFonts w:hint="default" w:ascii="宋体" w:eastAsia="宋体"/>
                <w:color w:val="000000"/>
                <w:sz w:val="21"/>
                <w:szCs w:val="21"/>
                <w:lang w:val="en-US" w:eastAsia="zh-CN"/>
              </w:rPr>
            </w:pPr>
            <w:r>
              <w:rPr>
                <w:rFonts w:hint="eastAsia" w:ascii="宋体"/>
                <w:color w:val="000000"/>
                <w:sz w:val="21"/>
                <w:szCs w:val="21"/>
                <w:lang w:val="en-US" w:eastAsia="zh-CN"/>
              </w:rPr>
              <w:t>2、发明专利ZL202510369409.9水下防喷器试压装置及试压方法</w:t>
            </w:r>
          </w:p>
        </w:tc>
      </w:tr>
      <w:tr w14:paraId="02B42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Merge w:val="continue"/>
            <w:vAlign w:val="center"/>
          </w:tcPr>
          <w:p w14:paraId="4D67000D">
            <w:pPr>
              <w:snapToGrid w:val="0"/>
              <w:jc w:val="center"/>
              <w:rPr>
                <w:rFonts w:ascii="仿宋" w:hAnsi="仿宋" w:eastAsia="仿宋"/>
                <w:b/>
                <w:bCs/>
              </w:rPr>
            </w:pPr>
          </w:p>
        </w:tc>
        <w:tc>
          <w:tcPr>
            <w:tcW w:w="7849" w:type="dxa"/>
            <w:vAlign w:val="center"/>
          </w:tcPr>
          <w:p w14:paraId="119424BE">
            <w:pPr>
              <w:pStyle w:val="4"/>
              <w:spacing w:line="240" w:lineRule="auto"/>
              <w:ind w:firstLine="0" w:firstLineChars="0"/>
              <w:jc w:val="left"/>
              <w:rPr>
                <w:rFonts w:hint="eastAsia" w:ascii="宋体"/>
                <w:color w:val="000000"/>
                <w:sz w:val="21"/>
                <w:szCs w:val="21"/>
                <w:lang w:val="en-US" w:eastAsia="zh-CN"/>
              </w:rPr>
            </w:pPr>
            <w:r>
              <w:rPr>
                <w:rFonts w:hint="eastAsia" w:ascii="宋体"/>
                <w:color w:val="000000"/>
                <w:sz w:val="21"/>
                <w:szCs w:val="21"/>
                <w:lang w:val="en-US" w:eastAsia="zh-CN"/>
              </w:rPr>
              <w:t>3、发明专利ZL202411393783.4一种非返回式深水井控混液系统及操作方法</w:t>
            </w:r>
          </w:p>
        </w:tc>
      </w:tr>
      <w:tr w14:paraId="0FEA2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Merge w:val="continue"/>
            <w:vAlign w:val="center"/>
          </w:tcPr>
          <w:p w14:paraId="6F9D525C">
            <w:pPr>
              <w:snapToGrid w:val="0"/>
              <w:jc w:val="center"/>
              <w:rPr>
                <w:rFonts w:ascii="仿宋" w:hAnsi="仿宋" w:eastAsia="仿宋"/>
                <w:b/>
                <w:bCs/>
              </w:rPr>
            </w:pPr>
          </w:p>
        </w:tc>
        <w:tc>
          <w:tcPr>
            <w:tcW w:w="7849" w:type="dxa"/>
            <w:vAlign w:val="center"/>
          </w:tcPr>
          <w:p w14:paraId="76F200B2">
            <w:pPr>
              <w:pStyle w:val="4"/>
              <w:spacing w:line="240" w:lineRule="auto"/>
              <w:ind w:firstLine="0" w:firstLineChars="0"/>
              <w:jc w:val="left"/>
              <w:rPr>
                <w:rFonts w:hint="eastAsia" w:ascii="宋体"/>
                <w:color w:val="000000"/>
                <w:sz w:val="21"/>
                <w:szCs w:val="21"/>
                <w:lang w:val="en-US" w:eastAsia="zh-CN"/>
              </w:rPr>
            </w:pPr>
            <w:r>
              <w:rPr>
                <w:rFonts w:hint="eastAsia" w:ascii="宋体"/>
                <w:color w:val="000000"/>
                <w:sz w:val="21"/>
                <w:szCs w:val="21"/>
                <w:lang w:val="en-US" w:eastAsia="zh-CN"/>
              </w:rPr>
              <w:t>4、发明专利ZL202411393785.3一种简易深水井控混液系统及操作方法</w:t>
            </w:r>
          </w:p>
        </w:tc>
      </w:tr>
      <w:tr w14:paraId="36D71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Merge w:val="continue"/>
            <w:vAlign w:val="center"/>
          </w:tcPr>
          <w:p w14:paraId="0902631D">
            <w:pPr>
              <w:snapToGrid w:val="0"/>
              <w:jc w:val="center"/>
              <w:rPr>
                <w:rFonts w:ascii="仿宋" w:hAnsi="仿宋" w:eastAsia="仿宋"/>
                <w:b/>
                <w:bCs/>
              </w:rPr>
            </w:pPr>
          </w:p>
        </w:tc>
        <w:tc>
          <w:tcPr>
            <w:tcW w:w="7849" w:type="dxa"/>
            <w:vAlign w:val="center"/>
          </w:tcPr>
          <w:p w14:paraId="1C6C092E">
            <w:pPr>
              <w:pStyle w:val="4"/>
              <w:spacing w:line="240" w:lineRule="auto"/>
              <w:ind w:firstLine="0" w:firstLineChars="0"/>
              <w:jc w:val="left"/>
              <w:rPr>
                <w:rFonts w:hint="eastAsia" w:ascii="宋体"/>
                <w:color w:val="000000"/>
                <w:sz w:val="21"/>
                <w:szCs w:val="21"/>
                <w:lang w:val="en-US" w:eastAsia="zh-CN"/>
              </w:rPr>
            </w:pPr>
            <w:r>
              <w:rPr>
                <w:rFonts w:hint="eastAsia" w:ascii="宋体"/>
                <w:color w:val="000000"/>
                <w:sz w:val="21"/>
                <w:szCs w:val="21"/>
                <w:lang w:val="en-US" w:eastAsia="zh-CN"/>
              </w:rPr>
              <w:t>5、发明专利ZL202510049483.2一种卡盘万向节组合存放装置</w:t>
            </w:r>
          </w:p>
        </w:tc>
      </w:tr>
      <w:tr w14:paraId="0042C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Merge w:val="continue"/>
            <w:vAlign w:val="center"/>
          </w:tcPr>
          <w:p w14:paraId="77856F98">
            <w:pPr>
              <w:snapToGrid w:val="0"/>
              <w:jc w:val="center"/>
              <w:rPr>
                <w:rFonts w:ascii="仿宋" w:hAnsi="仿宋" w:eastAsia="仿宋"/>
                <w:b/>
                <w:bCs/>
              </w:rPr>
            </w:pPr>
          </w:p>
        </w:tc>
        <w:tc>
          <w:tcPr>
            <w:tcW w:w="7849" w:type="dxa"/>
            <w:vAlign w:val="center"/>
          </w:tcPr>
          <w:p w14:paraId="58E70709">
            <w:pPr>
              <w:pStyle w:val="4"/>
              <w:spacing w:line="240" w:lineRule="auto"/>
              <w:ind w:firstLine="0" w:firstLineChars="0"/>
              <w:jc w:val="left"/>
              <w:rPr>
                <w:rFonts w:hint="eastAsia" w:ascii="宋体"/>
                <w:color w:val="000000"/>
                <w:sz w:val="21"/>
                <w:szCs w:val="21"/>
                <w:lang w:val="en-US" w:eastAsia="zh-CN"/>
              </w:rPr>
            </w:pPr>
            <w:r>
              <w:rPr>
                <w:rFonts w:hint="eastAsia" w:ascii="宋体"/>
                <w:color w:val="000000"/>
                <w:sz w:val="21"/>
                <w:szCs w:val="21"/>
                <w:lang w:val="en-US" w:eastAsia="zh-CN"/>
              </w:rPr>
              <w:t>6、发明专利ZL202411496687.2一种转喷器基座吊装工装及安装方法</w:t>
            </w:r>
          </w:p>
        </w:tc>
      </w:tr>
      <w:tr w14:paraId="4B759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Merge w:val="continue"/>
            <w:vAlign w:val="center"/>
          </w:tcPr>
          <w:p w14:paraId="51685A80">
            <w:pPr>
              <w:snapToGrid w:val="0"/>
              <w:jc w:val="center"/>
              <w:rPr>
                <w:rFonts w:ascii="仿宋" w:hAnsi="仿宋" w:eastAsia="仿宋"/>
                <w:b/>
                <w:bCs/>
              </w:rPr>
            </w:pPr>
          </w:p>
        </w:tc>
        <w:tc>
          <w:tcPr>
            <w:tcW w:w="7849" w:type="dxa"/>
            <w:vAlign w:val="center"/>
          </w:tcPr>
          <w:p w14:paraId="1D2738B3">
            <w:pPr>
              <w:pStyle w:val="4"/>
              <w:spacing w:line="240" w:lineRule="auto"/>
              <w:ind w:firstLine="0" w:firstLineChars="0"/>
              <w:jc w:val="left"/>
              <w:rPr>
                <w:rFonts w:hint="eastAsia" w:ascii="宋体"/>
                <w:color w:val="000000"/>
                <w:sz w:val="21"/>
                <w:szCs w:val="21"/>
                <w:lang w:val="en-US" w:eastAsia="zh-CN"/>
              </w:rPr>
            </w:pPr>
            <w:r>
              <w:rPr>
                <w:rFonts w:hint="eastAsia" w:ascii="宋体"/>
                <w:color w:val="000000"/>
                <w:sz w:val="21"/>
                <w:szCs w:val="21"/>
                <w:lang w:val="en-US" w:eastAsia="zh-CN"/>
              </w:rPr>
              <w:t>7、发明专利ZL202311421325.2一种用于卡盘万向节的猫道机运移装置及操作方法</w:t>
            </w:r>
          </w:p>
        </w:tc>
      </w:tr>
      <w:tr w14:paraId="65AF3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Merge w:val="continue"/>
            <w:vAlign w:val="center"/>
          </w:tcPr>
          <w:p w14:paraId="1F6580B9">
            <w:pPr>
              <w:snapToGrid w:val="0"/>
              <w:jc w:val="center"/>
              <w:rPr>
                <w:rFonts w:ascii="仿宋" w:hAnsi="仿宋" w:eastAsia="仿宋"/>
                <w:b/>
                <w:bCs/>
              </w:rPr>
            </w:pPr>
          </w:p>
        </w:tc>
        <w:tc>
          <w:tcPr>
            <w:tcW w:w="7849" w:type="dxa"/>
            <w:vAlign w:val="center"/>
          </w:tcPr>
          <w:p w14:paraId="7A44A225">
            <w:pPr>
              <w:pStyle w:val="4"/>
              <w:spacing w:line="240" w:lineRule="auto"/>
              <w:ind w:firstLine="0" w:firstLineChars="0"/>
              <w:jc w:val="left"/>
              <w:rPr>
                <w:rFonts w:ascii="宋体"/>
                <w:color w:val="000000"/>
                <w:sz w:val="21"/>
                <w:szCs w:val="21"/>
              </w:rPr>
            </w:pPr>
            <w:r>
              <w:rPr>
                <w:rFonts w:hint="eastAsia" w:ascii="宋体"/>
                <w:color w:val="000000"/>
                <w:sz w:val="21"/>
                <w:szCs w:val="21"/>
                <w:lang w:val="en-US" w:eastAsia="zh-CN"/>
              </w:rPr>
              <w:t>8、实用新型ZL202423079292.0液压固定锁紧装置和船舶</w:t>
            </w:r>
          </w:p>
        </w:tc>
      </w:tr>
      <w:tr w14:paraId="19B3D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Merge w:val="continue"/>
            <w:vAlign w:val="center"/>
          </w:tcPr>
          <w:p w14:paraId="6049A8BD">
            <w:pPr>
              <w:snapToGrid w:val="0"/>
              <w:jc w:val="center"/>
              <w:rPr>
                <w:rFonts w:ascii="仿宋" w:hAnsi="仿宋" w:eastAsia="仿宋"/>
                <w:b/>
                <w:bCs/>
              </w:rPr>
            </w:pPr>
          </w:p>
        </w:tc>
        <w:tc>
          <w:tcPr>
            <w:tcW w:w="7849" w:type="dxa"/>
            <w:vAlign w:val="center"/>
          </w:tcPr>
          <w:p w14:paraId="464A5325">
            <w:pPr>
              <w:pStyle w:val="4"/>
              <w:spacing w:line="240" w:lineRule="auto"/>
              <w:ind w:firstLine="0" w:firstLineChars="0"/>
              <w:jc w:val="left"/>
              <w:rPr>
                <w:rFonts w:ascii="宋体"/>
                <w:color w:val="000000"/>
                <w:sz w:val="21"/>
                <w:szCs w:val="21"/>
              </w:rPr>
            </w:pPr>
            <w:r>
              <w:rPr>
                <w:rFonts w:hint="eastAsia" w:ascii="宋体"/>
                <w:color w:val="000000"/>
                <w:sz w:val="21"/>
                <w:szCs w:val="21"/>
                <w:lang w:val="en-US" w:eastAsia="zh-CN"/>
              </w:rPr>
              <w:t>9、发明专利ZL202311314125.7T形钢矫正装置及T形钢矫正工艺</w:t>
            </w:r>
          </w:p>
        </w:tc>
      </w:tr>
      <w:tr w14:paraId="4B497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Merge w:val="continue"/>
            <w:vAlign w:val="center"/>
          </w:tcPr>
          <w:p w14:paraId="5577C7E3">
            <w:pPr>
              <w:snapToGrid w:val="0"/>
              <w:jc w:val="center"/>
              <w:rPr>
                <w:rFonts w:ascii="仿宋" w:hAnsi="仿宋" w:eastAsia="仿宋"/>
                <w:b/>
                <w:bCs/>
              </w:rPr>
            </w:pPr>
          </w:p>
        </w:tc>
        <w:tc>
          <w:tcPr>
            <w:tcW w:w="7849" w:type="dxa"/>
            <w:vAlign w:val="center"/>
          </w:tcPr>
          <w:p w14:paraId="35AD5E8E">
            <w:pPr>
              <w:pStyle w:val="4"/>
              <w:spacing w:line="240" w:lineRule="auto"/>
              <w:ind w:firstLine="0" w:firstLineChars="0"/>
              <w:jc w:val="left"/>
              <w:rPr>
                <w:rFonts w:ascii="宋体"/>
                <w:color w:val="000000"/>
                <w:sz w:val="21"/>
                <w:szCs w:val="21"/>
              </w:rPr>
            </w:pPr>
            <w:r>
              <w:rPr>
                <w:rFonts w:hint="eastAsia" w:ascii="宋体"/>
                <w:color w:val="000000"/>
                <w:sz w:val="21"/>
                <w:szCs w:val="21"/>
                <w:lang w:val="en-US" w:eastAsia="zh-CN"/>
              </w:rPr>
              <w:t>10、实用新型ZL202220425748.6一种舱压监测装置及船舶</w:t>
            </w:r>
          </w:p>
        </w:tc>
      </w:tr>
      <w:tr w14:paraId="381F5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Merge w:val="continue"/>
            <w:vAlign w:val="center"/>
          </w:tcPr>
          <w:p w14:paraId="18CB193C">
            <w:pPr>
              <w:snapToGrid w:val="0"/>
              <w:jc w:val="center"/>
              <w:rPr>
                <w:rFonts w:ascii="仿宋" w:hAnsi="仿宋" w:eastAsia="仿宋"/>
                <w:b/>
                <w:bCs/>
              </w:rPr>
            </w:pPr>
          </w:p>
        </w:tc>
        <w:tc>
          <w:tcPr>
            <w:tcW w:w="7849" w:type="dxa"/>
            <w:vAlign w:val="center"/>
          </w:tcPr>
          <w:p w14:paraId="499E38AC">
            <w:pPr>
              <w:pStyle w:val="4"/>
              <w:spacing w:line="240" w:lineRule="auto"/>
              <w:ind w:firstLine="0" w:firstLineChars="0"/>
              <w:jc w:val="left"/>
              <w:rPr>
                <w:rFonts w:ascii="宋体"/>
                <w:color w:val="000000"/>
                <w:sz w:val="21"/>
                <w:szCs w:val="21"/>
              </w:rPr>
            </w:pPr>
            <w:r>
              <w:rPr>
                <w:rFonts w:hint="eastAsia" w:ascii="宋体"/>
                <w:color w:val="000000"/>
                <w:sz w:val="21"/>
                <w:szCs w:val="21"/>
                <w:lang w:val="en-US" w:eastAsia="zh-CN"/>
              </w:rPr>
              <w:t>11、发明专利ZL202310482607.7船用岩心转运小车</w:t>
            </w:r>
          </w:p>
        </w:tc>
      </w:tr>
      <w:tr w14:paraId="64134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Merge w:val="continue"/>
            <w:vAlign w:val="center"/>
          </w:tcPr>
          <w:p w14:paraId="2620EE4B">
            <w:pPr>
              <w:snapToGrid w:val="0"/>
              <w:jc w:val="center"/>
              <w:rPr>
                <w:rFonts w:ascii="仿宋" w:hAnsi="仿宋" w:eastAsia="仿宋"/>
                <w:b/>
                <w:bCs/>
              </w:rPr>
            </w:pPr>
          </w:p>
        </w:tc>
        <w:tc>
          <w:tcPr>
            <w:tcW w:w="7849" w:type="dxa"/>
            <w:vAlign w:val="center"/>
          </w:tcPr>
          <w:p w14:paraId="17E7EA99">
            <w:pPr>
              <w:pStyle w:val="4"/>
              <w:spacing w:line="240" w:lineRule="auto"/>
              <w:ind w:firstLine="0" w:firstLineChars="0"/>
              <w:jc w:val="left"/>
              <w:rPr>
                <w:rFonts w:ascii="宋体"/>
                <w:color w:val="000000"/>
                <w:sz w:val="21"/>
                <w:szCs w:val="21"/>
              </w:rPr>
            </w:pPr>
            <w:r>
              <w:rPr>
                <w:rFonts w:hint="eastAsia" w:ascii="宋体"/>
                <w:color w:val="000000"/>
                <w:sz w:val="21"/>
                <w:szCs w:val="21"/>
                <w:lang w:val="en-US" w:eastAsia="zh-CN"/>
              </w:rPr>
              <w:t>12、实用新型ZL202321477715.7一种岩心存放架</w:t>
            </w:r>
          </w:p>
        </w:tc>
      </w:tr>
      <w:tr w14:paraId="4591D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Merge w:val="continue"/>
            <w:vAlign w:val="center"/>
          </w:tcPr>
          <w:p w14:paraId="777D283F">
            <w:pPr>
              <w:snapToGrid w:val="0"/>
              <w:jc w:val="center"/>
              <w:rPr>
                <w:rFonts w:ascii="仿宋" w:hAnsi="仿宋" w:eastAsia="仿宋"/>
                <w:b/>
                <w:bCs/>
              </w:rPr>
            </w:pPr>
          </w:p>
        </w:tc>
        <w:tc>
          <w:tcPr>
            <w:tcW w:w="7849" w:type="dxa"/>
            <w:vAlign w:val="center"/>
          </w:tcPr>
          <w:p w14:paraId="74B0E31E">
            <w:pPr>
              <w:pStyle w:val="4"/>
              <w:spacing w:line="240" w:lineRule="auto"/>
              <w:ind w:firstLine="0" w:firstLineChars="0"/>
              <w:jc w:val="left"/>
              <w:rPr>
                <w:rFonts w:hint="default" w:ascii="宋体"/>
                <w:color w:val="000000"/>
                <w:sz w:val="21"/>
                <w:szCs w:val="21"/>
                <w:lang w:val="en-US" w:eastAsia="zh-CN"/>
              </w:rPr>
            </w:pPr>
            <w:r>
              <w:rPr>
                <w:rFonts w:hint="eastAsia" w:ascii="宋体"/>
                <w:color w:val="000000"/>
                <w:sz w:val="21"/>
                <w:szCs w:val="21"/>
                <w:lang w:val="en-US" w:eastAsia="zh-CN"/>
              </w:rPr>
              <w:t>13、实用新型ZL202423080418.6舱口围气体取样装置和船舶</w:t>
            </w:r>
          </w:p>
        </w:tc>
      </w:tr>
      <w:tr w14:paraId="62906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Merge w:val="continue"/>
            <w:vAlign w:val="center"/>
          </w:tcPr>
          <w:p w14:paraId="79C5E6F6">
            <w:pPr>
              <w:snapToGrid w:val="0"/>
              <w:jc w:val="center"/>
              <w:rPr>
                <w:rFonts w:ascii="仿宋" w:hAnsi="仿宋" w:eastAsia="仿宋"/>
                <w:b/>
                <w:bCs/>
              </w:rPr>
            </w:pPr>
          </w:p>
        </w:tc>
        <w:tc>
          <w:tcPr>
            <w:tcW w:w="7849" w:type="dxa"/>
            <w:vAlign w:val="center"/>
          </w:tcPr>
          <w:p w14:paraId="6A15C6C0">
            <w:pPr>
              <w:pStyle w:val="4"/>
              <w:spacing w:line="240" w:lineRule="auto"/>
              <w:ind w:firstLine="0" w:firstLineChars="0"/>
              <w:jc w:val="left"/>
              <w:rPr>
                <w:rFonts w:hint="default" w:ascii="宋体"/>
                <w:color w:val="000000"/>
                <w:sz w:val="21"/>
                <w:szCs w:val="21"/>
                <w:lang w:val="en-US" w:eastAsia="zh-CN"/>
              </w:rPr>
            </w:pPr>
            <w:r>
              <w:rPr>
                <w:rFonts w:hint="eastAsia" w:ascii="宋体"/>
                <w:color w:val="000000"/>
                <w:sz w:val="21"/>
                <w:szCs w:val="21"/>
                <w:lang w:val="en-US" w:eastAsia="zh-CN"/>
              </w:rPr>
              <w:t>14、实用新型ZL202220674850,X带有缓冲装置的船用舱口盖及船舶</w:t>
            </w:r>
          </w:p>
        </w:tc>
      </w:tr>
      <w:tr w14:paraId="53560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Merge w:val="continue"/>
            <w:vAlign w:val="center"/>
          </w:tcPr>
          <w:p w14:paraId="52C2176E">
            <w:pPr>
              <w:snapToGrid w:val="0"/>
              <w:jc w:val="center"/>
              <w:rPr>
                <w:rFonts w:ascii="仿宋" w:hAnsi="仿宋" w:eastAsia="仿宋"/>
                <w:b/>
                <w:bCs/>
              </w:rPr>
            </w:pPr>
          </w:p>
        </w:tc>
        <w:tc>
          <w:tcPr>
            <w:tcW w:w="7849" w:type="dxa"/>
            <w:vAlign w:val="center"/>
          </w:tcPr>
          <w:p w14:paraId="4CA8D80C">
            <w:pPr>
              <w:pStyle w:val="4"/>
              <w:spacing w:line="240" w:lineRule="auto"/>
              <w:ind w:firstLine="0" w:firstLineChars="0"/>
              <w:jc w:val="left"/>
              <w:rPr>
                <w:rFonts w:hint="default" w:ascii="宋体"/>
                <w:color w:val="000000"/>
                <w:sz w:val="21"/>
                <w:szCs w:val="21"/>
                <w:lang w:val="en-US" w:eastAsia="zh-CN"/>
              </w:rPr>
            </w:pPr>
            <w:r>
              <w:rPr>
                <w:rFonts w:hint="eastAsia" w:ascii="宋体"/>
                <w:color w:val="000000"/>
                <w:sz w:val="21"/>
                <w:szCs w:val="21"/>
                <w:lang w:val="en-US" w:eastAsia="zh-CN"/>
              </w:rPr>
              <w:t>15、核心论文《非返回式深水井控混液系统》(船海工程)</w:t>
            </w:r>
          </w:p>
        </w:tc>
      </w:tr>
      <w:tr w14:paraId="6CE20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Merge w:val="continue"/>
            <w:vAlign w:val="center"/>
          </w:tcPr>
          <w:p w14:paraId="53450E5A">
            <w:pPr>
              <w:snapToGrid w:val="0"/>
              <w:jc w:val="center"/>
              <w:rPr>
                <w:rFonts w:ascii="仿宋" w:hAnsi="仿宋" w:eastAsia="仿宋"/>
                <w:b/>
                <w:bCs/>
              </w:rPr>
            </w:pPr>
          </w:p>
        </w:tc>
        <w:tc>
          <w:tcPr>
            <w:tcW w:w="7849" w:type="dxa"/>
            <w:vAlign w:val="center"/>
          </w:tcPr>
          <w:p w14:paraId="60E09060">
            <w:pPr>
              <w:pStyle w:val="4"/>
              <w:spacing w:line="240" w:lineRule="auto"/>
              <w:ind w:firstLine="0" w:firstLineChars="0"/>
              <w:jc w:val="left"/>
              <w:rPr>
                <w:rFonts w:hint="default" w:ascii="宋体"/>
                <w:color w:val="000000"/>
                <w:sz w:val="21"/>
                <w:szCs w:val="21"/>
                <w:lang w:val="en-US" w:eastAsia="zh-CN"/>
              </w:rPr>
            </w:pPr>
            <w:r>
              <w:rPr>
                <w:rFonts w:hint="eastAsia" w:ascii="宋体"/>
                <w:color w:val="000000"/>
                <w:sz w:val="21"/>
                <w:szCs w:val="21"/>
                <w:lang w:val="en-US" w:eastAsia="zh-CN"/>
              </w:rPr>
              <w:t>16、部级论文《超深水井控与隔水管系统在钻井船上应用的初版设计与布置优化》（造船技术）</w:t>
            </w:r>
          </w:p>
        </w:tc>
      </w:tr>
      <w:tr w14:paraId="1B418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Merge w:val="continue"/>
            <w:vAlign w:val="center"/>
          </w:tcPr>
          <w:p w14:paraId="28AD91E0">
            <w:pPr>
              <w:snapToGrid w:val="0"/>
              <w:jc w:val="center"/>
              <w:rPr>
                <w:rFonts w:ascii="仿宋" w:hAnsi="仿宋" w:eastAsia="仿宋"/>
                <w:b/>
                <w:bCs/>
              </w:rPr>
            </w:pPr>
          </w:p>
        </w:tc>
        <w:tc>
          <w:tcPr>
            <w:tcW w:w="7849" w:type="dxa"/>
            <w:vAlign w:val="center"/>
          </w:tcPr>
          <w:p w14:paraId="28B3FF8B">
            <w:pPr>
              <w:pStyle w:val="4"/>
              <w:spacing w:line="240" w:lineRule="auto"/>
              <w:ind w:firstLine="0" w:firstLineChars="0"/>
              <w:jc w:val="left"/>
              <w:rPr>
                <w:rFonts w:hint="default" w:ascii="宋体"/>
                <w:color w:val="000000"/>
                <w:sz w:val="21"/>
                <w:szCs w:val="21"/>
                <w:lang w:val="en-US" w:eastAsia="zh-CN"/>
              </w:rPr>
            </w:pPr>
            <w:r>
              <w:rPr>
                <w:rFonts w:hint="eastAsia" w:ascii="宋体"/>
                <w:color w:val="000000"/>
                <w:sz w:val="21"/>
                <w:szCs w:val="21"/>
                <w:lang w:val="en-US" w:eastAsia="zh-CN"/>
              </w:rPr>
              <w:t>17、省级论文《大洋钻探船非承重式井架安装和提升系统联合调校技术》（广东造船）</w:t>
            </w:r>
          </w:p>
        </w:tc>
      </w:tr>
      <w:tr w14:paraId="25808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Merge w:val="continue"/>
            <w:vAlign w:val="center"/>
          </w:tcPr>
          <w:p w14:paraId="3DE6FC6E">
            <w:pPr>
              <w:snapToGrid w:val="0"/>
              <w:jc w:val="center"/>
              <w:rPr>
                <w:rFonts w:ascii="仿宋" w:hAnsi="仿宋" w:eastAsia="仿宋"/>
                <w:b/>
                <w:bCs/>
              </w:rPr>
            </w:pPr>
          </w:p>
        </w:tc>
        <w:tc>
          <w:tcPr>
            <w:tcW w:w="7849" w:type="dxa"/>
            <w:vAlign w:val="center"/>
          </w:tcPr>
          <w:p w14:paraId="35FB300E">
            <w:pPr>
              <w:pStyle w:val="4"/>
              <w:spacing w:line="240" w:lineRule="auto"/>
              <w:ind w:firstLine="0" w:firstLineChars="0"/>
              <w:jc w:val="left"/>
              <w:rPr>
                <w:rFonts w:hint="default" w:ascii="宋体"/>
                <w:color w:val="000000"/>
                <w:sz w:val="21"/>
                <w:szCs w:val="21"/>
                <w:lang w:val="en-US" w:eastAsia="zh-CN"/>
              </w:rPr>
            </w:pPr>
            <w:r>
              <w:rPr>
                <w:rFonts w:hint="eastAsia" w:ascii="宋体"/>
                <w:color w:val="000000"/>
                <w:sz w:val="21"/>
                <w:szCs w:val="21"/>
                <w:lang w:val="en-US" w:eastAsia="zh-CN"/>
              </w:rPr>
              <w:t>18、省级论文《钻探船超深水隔水管系统作业窗口分析》（广东造船）</w:t>
            </w:r>
          </w:p>
        </w:tc>
      </w:tr>
      <w:tr w14:paraId="1538B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Merge w:val="continue"/>
            <w:vAlign w:val="center"/>
          </w:tcPr>
          <w:p w14:paraId="67A0D6C2">
            <w:pPr>
              <w:snapToGrid w:val="0"/>
              <w:jc w:val="center"/>
              <w:rPr>
                <w:rFonts w:ascii="仿宋" w:hAnsi="仿宋" w:eastAsia="仿宋"/>
                <w:b/>
                <w:bCs/>
              </w:rPr>
            </w:pPr>
          </w:p>
        </w:tc>
        <w:tc>
          <w:tcPr>
            <w:tcW w:w="7849" w:type="dxa"/>
            <w:shd w:val="clear" w:color="auto" w:fill="auto"/>
            <w:vAlign w:val="center"/>
          </w:tcPr>
          <w:p w14:paraId="1EB3A107">
            <w:pPr>
              <w:pStyle w:val="4"/>
              <w:spacing w:line="240" w:lineRule="auto"/>
              <w:ind w:firstLine="0" w:firstLineChars="0"/>
              <w:jc w:val="left"/>
              <w:rPr>
                <w:rFonts w:hint="eastAsia" w:ascii="宋体" w:hAnsi="Times New Roman" w:eastAsia="宋体" w:cs="Times New Roman"/>
                <w:color w:val="000000"/>
                <w:kern w:val="2"/>
                <w:sz w:val="21"/>
                <w:szCs w:val="21"/>
                <w:lang w:val="en-US" w:eastAsia="zh-CN" w:bidi="ar-SA"/>
              </w:rPr>
            </w:pPr>
            <w:r>
              <w:rPr>
                <w:rFonts w:hint="eastAsia" w:ascii="宋体"/>
                <w:color w:val="000000"/>
                <w:sz w:val="21"/>
                <w:szCs w:val="21"/>
                <w:lang w:val="en-US" w:eastAsia="zh-CN"/>
              </w:rPr>
              <w:t>19、行业团体标准《T/CANSI 16005-2026船用防有害气体呼吸系统技术要求》</w:t>
            </w:r>
          </w:p>
        </w:tc>
      </w:tr>
      <w:tr w14:paraId="26EFC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Merge w:val="continue"/>
            <w:vAlign w:val="center"/>
          </w:tcPr>
          <w:p w14:paraId="179712F6">
            <w:pPr>
              <w:snapToGrid w:val="0"/>
              <w:jc w:val="center"/>
              <w:rPr>
                <w:rFonts w:ascii="仿宋" w:hAnsi="仿宋" w:eastAsia="仿宋"/>
                <w:b/>
                <w:bCs/>
              </w:rPr>
            </w:pPr>
          </w:p>
        </w:tc>
        <w:tc>
          <w:tcPr>
            <w:tcW w:w="7849" w:type="dxa"/>
            <w:shd w:val="clear" w:color="auto" w:fill="auto"/>
            <w:vAlign w:val="center"/>
          </w:tcPr>
          <w:p w14:paraId="45ADE728">
            <w:pPr>
              <w:pStyle w:val="4"/>
              <w:spacing w:line="240" w:lineRule="auto"/>
              <w:ind w:firstLine="0" w:firstLineChars="0"/>
              <w:jc w:val="left"/>
              <w:rPr>
                <w:rFonts w:hint="default" w:ascii="宋体"/>
                <w:color w:val="000000"/>
                <w:sz w:val="21"/>
                <w:szCs w:val="21"/>
                <w:lang w:val="en-US" w:eastAsia="zh-CN"/>
              </w:rPr>
            </w:pPr>
            <w:r>
              <w:rPr>
                <w:rFonts w:hint="eastAsia" w:ascii="宋体"/>
                <w:color w:val="000000"/>
                <w:sz w:val="21"/>
                <w:szCs w:val="21"/>
                <w:lang w:val="en-US" w:eastAsia="zh-CN"/>
              </w:rPr>
              <w:t>20、集团标准《Q/CSSC ZM712-2023船用木甲板制作与安装工艺》</w:t>
            </w:r>
          </w:p>
        </w:tc>
      </w:tr>
      <w:tr w14:paraId="78E7E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Merge w:val="continue"/>
          </w:tcPr>
          <w:p w14:paraId="08E43C99">
            <w:pPr>
              <w:snapToGrid w:val="0"/>
              <w:jc w:val="center"/>
              <w:rPr>
                <w:rFonts w:ascii="仿宋" w:hAnsi="仿宋" w:eastAsia="仿宋"/>
                <w:b/>
                <w:bCs/>
              </w:rPr>
            </w:pPr>
          </w:p>
        </w:tc>
        <w:tc>
          <w:tcPr>
            <w:tcW w:w="0" w:type="auto"/>
            <w:shd w:val="clear" w:color="auto" w:fill="auto"/>
            <w:vAlign w:val="center"/>
          </w:tcPr>
          <w:p w14:paraId="4C39BFD9">
            <w:pPr>
              <w:pStyle w:val="4"/>
              <w:spacing w:line="240" w:lineRule="auto"/>
              <w:ind w:firstLine="0" w:firstLineChars="0"/>
              <w:jc w:val="left"/>
              <w:rPr>
                <w:rFonts w:hint="eastAsia" w:ascii="宋体" w:hAnsi="Times New Roman" w:eastAsia="宋体" w:cs="Times New Roman"/>
                <w:color w:val="000000"/>
                <w:kern w:val="2"/>
                <w:sz w:val="21"/>
                <w:szCs w:val="21"/>
                <w:lang w:val="en-US" w:eastAsia="zh-CN" w:bidi="ar-SA"/>
              </w:rPr>
            </w:pPr>
            <w:r>
              <w:rPr>
                <w:rFonts w:hint="eastAsia" w:ascii="宋体"/>
                <w:color w:val="000000"/>
                <w:sz w:val="21"/>
                <w:szCs w:val="21"/>
                <w:lang w:val="en-US" w:eastAsia="zh-CN"/>
              </w:rPr>
              <w:t>21、企业标准《QHS J0406102-2025钻井船超高压井控试压系统试验规程》</w:t>
            </w:r>
          </w:p>
        </w:tc>
      </w:tr>
      <w:tr w14:paraId="48094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Merge w:val="continue"/>
          </w:tcPr>
          <w:p w14:paraId="6CC0C0FC">
            <w:pPr>
              <w:snapToGrid w:val="0"/>
              <w:jc w:val="center"/>
              <w:rPr>
                <w:rFonts w:ascii="仿宋" w:hAnsi="仿宋" w:eastAsia="仿宋"/>
                <w:b/>
                <w:bCs/>
              </w:rPr>
            </w:pPr>
          </w:p>
        </w:tc>
        <w:tc>
          <w:tcPr>
            <w:tcW w:w="0" w:type="auto"/>
            <w:shd w:val="clear" w:color="auto" w:fill="auto"/>
            <w:vAlign w:val="center"/>
          </w:tcPr>
          <w:p w14:paraId="7323DCB8">
            <w:pPr>
              <w:pStyle w:val="4"/>
              <w:spacing w:line="240" w:lineRule="auto"/>
              <w:ind w:firstLine="0" w:firstLineChars="0"/>
              <w:jc w:val="left"/>
              <w:rPr>
                <w:rFonts w:hint="eastAsia" w:ascii="宋体" w:hAnsi="Times New Roman" w:eastAsia="宋体" w:cs="Times New Roman"/>
                <w:color w:val="000000"/>
                <w:kern w:val="2"/>
                <w:sz w:val="21"/>
                <w:szCs w:val="21"/>
                <w:lang w:val="en-US" w:eastAsia="zh-CN" w:bidi="ar-SA"/>
              </w:rPr>
            </w:pPr>
            <w:r>
              <w:rPr>
                <w:rFonts w:hint="eastAsia" w:ascii="宋体"/>
                <w:color w:val="000000"/>
                <w:sz w:val="21"/>
                <w:szCs w:val="21"/>
                <w:lang w:val="en-US" w:eastAsia="zh-CN"/>
              </w:rPr>
              <w:t>22、企业标准《QHS J0406103-2025深水钻井隔水管存放及堆场技术要求》</w:t>
            </w:r>
          </w:p>
        </w:tc>
      </w:tr>
      <w:tr w14:paraId="6875B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Merge w:val="continue"/>
          </w:tcPr>
          <w:p w14:paraId="791CA5B2">
            <w:pPr>
              <w:snapToGrid w:val="0"/>
              <w:jc w:val="center"/>
              <w:rPr>
                <w:rFonts w:ascii="仿宋" w:hAnsi="仿宋" w:eastAsia="仿宋"/>
                <w:b/>
                <w:bCs/>
              </w:rPr>
            </w:pPr>
          </w:p>
        </w:tc>
        <w:tc>
          <w:tcPr>
            <w:tcW w:w="0" w:type="auto"/>
            <w:shd w:val="clear" w:color="auto" w:fill="auto"/>
            <w:vAlign w:val="center"/>
          </w:tcPr>
          <w:p w14:paraId="6969CAAF">
            <w:pPr>
              <w:pStyle w:val="4"/>
              <w:spacing w:line="240" w:lineRule="auto"/>
              <w:ind w:firstLine="0" w:firstLineChars="0"/>
              <w:jc w:val="left"/>
              <w:rPr>
                <w:rFonts w:hint="eastAsia" w:ascii="宋体" w:hAnsi="Times New Roman" w:eastAsia="宋体" w:cs="Times New Roman"/>
                <w:color w:val="000000"/>
                <w:kern w:val="2"/>
                <w:sz w:val="21"/>
                <w:szCs w:val="21"/>
                <w:lang w:val="en-US" w:eastAsia="zh-CN" w:bidi="ar-SA"/>
              </w:rPr>
            </w:pPr>
            <w:r>
              <w:rPr>
                <w:rFonts w:hint="eastAsia" w:ascii="宋体"/>
                <w:color w:val="000000"/>
                <w:sz w:val="21"/>
                <w:szCs w:val="21"/>
                <w:lang w:val="en-US" w:eastAsia="zh-CN"/>
              </w:rPr>
              <w:t>23、企业标准《QHS J0406104-2025水下井控混液系统技术要求》</w:t>
            </w:r>
          </w:p>
        </w:tc>
      </w:tr>
    </w:tbl>
    <w:p w14:paraId="5ACF6945">
      <w:pPr>
        <w:widowControl/>
        <w:jc w:val="left"/>
        <w:rPr>
          <w:rFonts w:ascii="仿宋" w:hAnsi="仿宋" w:eastAsia="仿宋" w:cs="Times New Roman"/>
          <w:sz w:val="32"/>
          <w:szCs w:val="32"/>
        </w:rPr>
      </w:pPr>
    </w:p>
    <w:sectPr>
      <w:footerReference r:id="rId3" w:type="default"/>
      <w:pgSz w:w="11906" w:h="16838"/>
      <w:pgMar w:top="1985" w:right="1134" w:bottom="1440" w:left="1701"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E5899">
    <w:pPr>
      <w:pStyle w:val="7"/>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384175"/>
              <wp:effectExtent l="0" t="0" r="0" b="952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34035" cy="384175"/>
                      </a:xfrm>
                      <a:prstGeom prst="rect">
                        <a:avLst/>
                      </a:prstGeom>
                      <a:noFill/>
                      <a:ln>
                        <a:noFill/>
                      </a:ln>
                    </wps:spPr>
                    <wps:txbx>
                      <w:txbxContent>
                        <w:p w14:paraId="3FFFC0D3">
                          <w:pPr>
                            <w:pStyle w:val="7"/>
                            <w:rPr>
                              <w:rStyle w:val="14"/>
                              <w:rFonts w:ascii="宋体" w:hAnsi="宋体" w:cs="宋体"/>
                              <w:sz w:val="28"/>
                              <w:szCs w:val="28"/>
                            </w:rPr>
                          </w:pPr>
                          <w:r>
                            <w:rPr>
                              <w:rFonts w:hint="eastAsia" w:ascii="宋体" w:hAnsi="宋体" w:cs="宋体"/>
                              <w:sz w:val="28"/>
                              <w:szCs w:val="28"/>
                            </w:rPr>
                            <w:fldChar w:fldCharType="begin"/>
                          </w:r>
                          <w:r>
                            <w:rPr>
                              <w:rStyle w:val="14"/>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4"/>
                              <w:rFonts w:ascii="宋体" w:hAnsi="宋体" w:cs="宋体"/>
                              <w:sz w:val="28"/>
                              <w:szCs w:val="28"/>
                            </w:rPr>
                            <w:t>- 1 -</w:t>
                          </w:r>
                          <w:r>
                            <w:rPr>
                              <w:rFonts w:hint="eastAsia" w:ascii="宋体" w:hAnsi="宋体" w:cs="宋体"/>
                              <w:sz w:val="28"/>
                              <w:szCs w:val="28"/>
                            </w:rPr>
                            <w:fldChar w:fldCharType="end"/>
                          </w:r>
                        </w:p>
                        <w:p w14:paraId="05BE8CF5"/>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30.25pt;width:42.05pt;mso-position-horizontal:outside;mso-position-horizontal-relative:margin;mso-wrap-style:none;z-index:251659264;mso-width-relative:page;mso-height-relative:page;" filled="f" stroked="f" coordsize="21600,21600" o:gfxdata="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E+eQ6dEAAAADAQAADwAAAAAAAAABACAAAAAiAAAAZHJz&#10;L2Rvd25yZXYueG1sUEsBAhQAFAAAAAgAh07iQL3oI0ILAgAAAgQAAA4AAAAAAAAAAQAgAAAAIAEA&#10;AGRycy9lMm9Eb2MueG1sUEsFBgAAAAAGAAYAWQEAAJ0FAAAAAA==&#10;">
              <v:fill on="f" focussize="0,0"/>
              <v:stroke on="f"/>
              <v:imagedata o:title=""/>
              <o:lock v:ext="edit" aspectratio="f"/>
              <v:textbox inset="0mm,0mm,0mm,0mm" style="mso-fit-shape-to-text:t;">
                <w:txbxContent>
                  <w:p w14:paraId="3FFFC0D3">
                    <w:pPr>
                      <w:pStyle w:val="7"/>
                      <w:rPr>
                        <w:rStyle w:val="14"/>
                        <w:rFonts w:ascii="宋体" w:hAnsi="宋体" w:cs="宋体"/>
                        <w:sz w:val="28"/>
                        <w:szCs w:val="28"/>
                      </w:rPr>
                    </w:pPr>
                    <w:r>
                      <w:rPr>
                        <w:rFonts w:hint="eastAsia" w:ascii="宋体" w:hAnsi="宋体" w:cs="宋体"/>
                        <w:sz w:val="28"/>
                        <w:szCs w:val="28"/>
                      </w:rPr>
                      <w:fldChar w:fldCharType="begin"/>
                    </w:r>
                    <w:r>
                      <w:rPr>
                        <w:rStyle w:val="14"/>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4"/>
                        <w:rFonts w:ascii="宋体" w:hAnsi="宋体" w:cs="宋体"/>
                        <w:sz w:val="28"/>
                        <w:szCs w:val="28"/>
                      </w:rPr>
                      <w:t>- 1 -</w:t>
                    </w:r>
                    <w:r>
                      <w:rPr>
                        <w:rFonts w:hint="eastAsia" w:ascii="宋体" w:hAnsi="宋体" w:cs="宋体"/>
                        <w:sz w:val="28"/>
                        <w:szCs w:val="28"/>
                      </w:rPr>
                      <w:fldChar w:fldCharType="end"/>
                    </w:r>
                  </w:p>
                  <w:p w14:paraId="05BE8CF5"/>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E80F98"/>
    <w:multiLevelType w:val="singleLevel"/>
    <w:tmpl w:val="D4E80F9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95A"/>
    <w:rsid w:val="00003708"/>
    <w:rsid w:val="00036537"/>
    <w:rsid w:val="00080269"/>
    <w:rsid w:val="000959FC"/>
    <w:rsid w:val="00095A71"/>
    <w:rsid w:val="000B1C55"/>
    <w:rsid w:val="000C2908"/>
    <w:rsid w:val="000C2D2F"/>
    <w:rsid w:val="000D0155"/>
    <w:rsid w:val="000E5230"/>
    <w:rsid w:val="000E5B9A"/>
    <w:rsid w:val="000E640E"/>
    <w:rsid w:val="000F02CD"/>
    <w:rsid w:val="000F1EF7"/>
    <w:rsid w:val="001000CF"/>
    <w:rsid w:val="001023DA"/>
    <w:rsid w:val="00105906"/>
    <w:rsid w:val="00122C7E"/>
    <w:rsid w:val="001240B6"/>
    <w:rsid w:val="001241D6"/>
    <w:rsid w:val="001342E5"/>
    <w:rsid w:val="00145C70"/>
    <w:rsid w:val="00155455"/>
    <w:rsid w:val="001605A3"/>
    <w:rsid w:val="001749C9"/>
    <w:rsid w:val="001A2255"/>
    <w:rsid w:val="001C4FF0"/>
    <w:rsid w:val="001E5C71"/>
    <w:rsid w:val="001F4357"/>
    <w:rsid w:val="00225FBE"/>
    <w:rsid w:val="00232232"/>
    <w:rsid w:val="00271925"/>
    <w:rsid w:val="0027498D"/>
    <w:rsid w:val="002A1895"/>
    <w:rsid w:val="002A7752"/>
    <w:rsid w:val="002B55AD"/>
    <w:rsid w:val="002C7984"/>
    <w:rsid w:val="002D495A"/>
    <w:rsid w:val="002D5360"/>
    <w:rsid w:val="002D5421"/>
    <w:rsid w:val="002E11FC"/>
    <w:rsid w:val="002F2BA0"/>
    <w:rsid w:val="002F2E35"/>
    <w:rsid w:val="002F4BBF"/>
    <w:rsid w:val="0030207A"/>
    <w:rsid w:val="00304317"/>
    <w:rsid w:val="00324B95"/>
    <w:rsid w:val="00335243"/>
    <w:rsid w:val="00335CF6"/>
    <w:rsid w:val="003543E2"/>
    <w:rsid w:val="00355235"/>
    <w:rsid w:val="003618CB"/>
    <w:rsid w:val="00363B58"/>
    <w:rsid w:val="00363E73"/>
    <w:rsid w:val="003650B7"/>
    <w:rsid w:val="003A7B7F"/>
    <w:rsid w:val="003B1236"/>
    <w:rsid w:val="003C2D63"/>
    <w:rsid w:val="003D2823"/>
    <w:rsid w:val="0040006E"/>
    <w:rsid w:val="00405E74"/>
    <w:rsid w:val="0041300E"/>
    <w:rsid w:val="00424599"/>
    <w:rsid w:val="00424827"/>
    <w:rsid w:val="00430699"/>
    <w:rsid w:val="00431E48"/>
    <w:rsid w:val="00433CBE"/>
    <w:rsid w:val="00433E57"/>
    <w:rsid w:val="0044494F"/>
    <w:rsid w:val="00460169"/>
    <w:rsid w:val="00463562"/>
    <w:rsid w:val="00482F98"/>
    <w:rsid w:val="00496B4B"/>
    <w:rsid w:val="004A648A"/>
    <w:rsid w:val="004E7888"/>
    <w:rsid w:val="004F4CBD"/>
    <w:rsid w:val="005039CE"/>
    <w:rsid w:val="00511A13"/>
    <w:rsid w:val="00553AB5"/>
    <w:rsid w:val="00587609"/>
    <w:rsid w:val="0059566B"/>
    <w:rsid w:val="005D431C"/>
    <w:rsid w:val="005E415D"/>
    <w:rsid w:val="005F682D"/>
    <w:rsid w:val="00615181"/>
    <w:rsid w:val="006300A7"/>
    <w:rsid w:val="00632731"/>
    <w:rsid w:val="00644642"/>
    <w:rsid w:val="00655D5D"/>
    <w:rsid w:val="00664CFA"/>
    <w:rsid w:val="0067381B"/>
    <w:rsid w:val="00681E39"/>
    <w:rsid w:val="006A0A3B"/>
    <w:rsid w:val="006B2D1F"/>
    <w:rsid w:val="006E424B"/>
    <w:rsid w:val="007006CB"/>
    <w:rsid w:val="0070314F"/>
    <w:rsid w:val="0070359F"/>
    <w:rsid w:val="00737507"/>
    <w:rsid w:val="007440BD"/>
    <w:rsid w:val="00745B07"/>
    <w:rsid w:val="00750A5F"/>
    <w:rsid w:val="00760129"/>
    <w:rsid w:val="00764E0E"/>
    <w:rsid w:val="00771B00"/>
    <w:rsid w:val="007A3F49"/>
    <w:rsid w:val="007C3F02"/>
    <w:rsid w:val="00833442"/>
    <w:rsid w:val="00855137"/>
    <w:rsid w:val="00862230"/>
    <w:rsid w:val="00867DDF"/>
    <w:rsid w:val="008C4D62"/>
    <w:rsid w:val="008E103B"/>
    <w:rsid w:val="008E2821"/>
    <w:rsid w:val="008E51C8"/>
    <w:rsid w:val="008E5FBB"/>
    <w:rsid w:val="008E62F7"/>
    <w:rsid w:val="009008EC"/>
    <w:rsid w:val="0090784A"/>
    <w:rsid w:val="00917134"/>
    <w:rsid w:val="009244BA"/>
    <w:rsid w:val="00971049"/>
    <w:rsid w:val="009A152B"/>
    <w:rsid w:val="009A5C88"/>
    <w:rsid w:val="009A7D7D"/>
    <w:rsid w:val="009D17A3"/>
    <w:rsid w:val="009D2684"/>
    <w:rsid w:val="00A02EA1"/>
    <w:rsid w:val="00A03867"/>
    <w:rsid w:val="00A1386F"/>
    <w:rsid w:val="00A252D5"/>
    <w:rsid w:val="00A274C7"/>
    <w:rsid w:val="00A33ECC"/>
    <w:rsid w:val="00A57C25"/>
    <w:rsid w:val="00A633AF"/>
    <w:rsid w:val="00A65E1C"/>
    <w:rsid w:val="00A678D4"/>
    <w:rsid w:val="00A67E32"/>
    <w:rsid w:val="00A97562"/>
    <w:rsid w:val="00AC170F"/>
    <w:rsid w:val="00AD2762"/>
    <w:rsid w:val="00B0275B"/>
    <w:rsid w:val="00B240A2"/>
    <w:rsid w:val="00B272A4"/>
    <w:rsid w:val="00B42C5A"/>
    <w:rsid w:val="00B51B49"/>
    <w:rsid w:val="00B552F0"/>
    <w:rsid w:val="00B635BB"/>
    <w:rsid w:val="00B74063"/>
    <w:rsid w:val="00BB0B3C"/>
    <w:rsid w:val="00BE1749"/>
    <w:rsid w:val="00C01722"/>
    <w:rsid w:val="00C1503B"/>
    <w:rsid w:val="00C20356"/>
    <w:rsid w:val="00C257C6"/>
    <w:rsid w:val="00C32665"/>
    <w:rsid w:val="00C44DFC"/>
    <w:rsid w:val="00C53039"/>
    <w:rsid w:val="00C55FF8"/>
    <w:rsid w:val="00C57970"/>
    <w:rsid w:val="00C73ADE"/>
    <w:rsid w:val="00C75EAA"/>
    <w:rsid w:val="00C820B6"/>
    <w:rsid w:val="00C843BC"/>
    <w:rsid w:val="00CB39F1"/>
    <w:rsid w:val="00CB5904"/>
    <w:rsid w:val="00CC7207"/>
    <w:rsid w:val="00CD164C"/>
    <w:rsid w:val="00CD72C8"/>
    <w:rsid w:val="00CE1A19"/>
    <w:rsid w:val="00CE2CC4"/>
    <w:rsid w:val="00CF5837"/>
    <w:rsid w:val="00CF7CE1"/>
    <w:rsid w:val="00D26ED4"/>
    <w:rsid w:val="00D355DD"/>
    <w:rsid w:val="00D45130"/>
    <w:rsid w:val="00D62384"/>
    <w:rsid w:val="00D751DA"/>
    <w:rsid w:val="00D87781"/>
    <w:rsid w:val="00DD3ED9"/>
    <w:rsid w:val="00DD6041"/>
    <w:rsid w:val="00DE359E"/>
    <w:rsid w:val="00DF639F"/>
    <w:rsid w:val="00E05A72"/>
    <w:rsid w:val="00E14A76"/>
    <w:rsid w:val="00E30997"/>
    <w:rsid w:val="00E31DE2"/>
    <w:rsid w:val="00E32327"/>
    <w:rsid w:val="00E4298F"/>
    <w:rsid w:val="00E53BB5"/>
    <w:rsid w:val="00E67C35"/>
    <w:rsid w:val="00E720A6"/>
    <w:rsid w:val="00E872E7"/>
    <w:rsid w:val="00EE0600"/>
    <w:rsid w:val="00EF6A6C"/>
    <w:rsid w:val="00F22718"/>
    <w:rsid w:val="00F25AED"/>
    <w:rsid w:val="00F3258A"/>
    <w:rsid w:val="00F356EB"/>
    <w:rsid w:val="00F37536"/>
    <w:rsid w:val="00F44EAC"/>
    <w:rsid w:val="00F476D9"/>
    <w:rsid w:val="00F61182"/>
    <w:rsid w:val="00F95726"/>
    <w:rsid w:val="00F95AF7"/>
    <w:rsid w:val="00FB5165"/>
    <w:rsid w:val="00FE2312"/>
    <w:rsid w:val="00FF373A"/>
    <w:rsid w:val="0CDB7DF7"/>
    <w:rsid w:val="2197632B"/>
    <w:rsid w:val="22053DC1"/>
    <w:rsid w:val="51235F0D"/>
    <w:rsid w:val="5C647122"/>
    <w:rsid w:val="62157BFB"/>
    <w:rsid w:val="66713D21"/>
    <w:rsid w:val="785017B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4"/>
    <w:qFormat/>
    <w:uiPriority w:val="0"/>
    <w:pPr>
      <w:keepNext/>
      <w:jc w:val="center"/>
      <w:outlineLvl w:val="0"/>
    </w:pPr>
    <w:rPr>
      <w:rFonts w:ascii="仿宋_GB2312" w:hAnsi="Times New Roman" w:eastAsia="仿宋_GB2312" w:cs="Times New Roman"/>
      <w:kern w:val="0"/>
      <w:sz w:val="28"/>
      <w:szCs w:val="20"/>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8"/>
    <w:unhideWhenUsed/>
    <w:qFormat/>
    <w:uiPriority w:val="99"/>
    <w:pPr>
      <w:jc w:val="left"/>
    </w:pPr>
  </w:style>
  <w:style w:type="paragraph" w:styleId="4">
    <w:name w:val="Plain Text"/>
    <w:basedOn w:val="1"/>
    <w:link w:val="32"/>
    <w:qFormat/>
    <w:uiPriority w:val="0"/>
    <w:pPr>
      <w:spacing w:line="360" w:lineRule="auto"/>
      <w:ind w:firstLine="480" w:firstLineChars="200"/>
    </w:pPr>
    <w:rPr>
      <w:rFonts w:ascii="仿宋_GB2312" w:hAnsi="Times New Roman" w:eastAsia="宋体" w:cs="Times New Roman"/>
      <w:sz w:val="24"/>
      <w:szCs w:val="24"/>
    </w:rPr>
  </w:style>
  <w:style w:type="paragraph" w:styleId="5">
    <w:name w:val="Date"/>
    <w:basedOn w:val="1"/>
    <w:next w:val="1"/>
    <w:link w:val="19"/>
    <w:semiHidden/>
    <w:unhideWhenUsed/>
    <w:qFormat/>
    <w:uiPriority w:val="99"/>
    <w:pPr>
      <w:ind w:left="100" w:leftChars="2500"/>
    </w:pPr>
  </w:style>
  <w:style w:type="paragraph" w:styleId="6">
    <w:name w:val="Balloon Text"/>
    <w:basedOn w:val="1"/>
    <w:link w:val="25"/>
    <w:unhideWhenUsed/>
    <w:qFormat/>
    <w:uiPriority w:val="99"/>
    <w:rPr>
      <w:sz w:val="18"/>
      <w:szCs w:val="18"/>
    </w:rPr>
  </w:style>
  <w:style w:type="paragraph" w:styleId="7">
    <w:name w:val="footer"/>
    <w:basedOn w:val="1"/>
    <w:link w:val="18"/>
    <w:unhideWhenUsed/>
    <w:qFormat/>
    <w:uiPriority w:val="99"/>
    <w:pPr>
      <w:tabs>
        <w:tab w:val="center" w:pos="4153"/>
        <w:tab w:val="right" w:pos="8306"/>
      </w:tabs>
      <w:snapToGrid w:val="0"/>
      <w:jc w:val="left"/>
    </w:pPr>
    <w:rPr>
      <w:sz w:val="18"/>
      <w:szCs w:val="18"/>
    </w:rPr>
  </w:style>
  <w:style w:type="paragraph" w:styleId="8">
    <w:name w:val="header"/>
    <w:basedOn w:val="1"/>
    <w:link w:val="17"/>
    <w:unhideWhenUsed/>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annotation subject"/>
    <w:basedOn w:val="3"/>
    <w:next w:val="3"/>
    <w:link w:val="21"/>
    <w:unhideWhenUsed/>
    <w:qFormat/>
    <w:uiPriority w:val="99"/>
    <w:rPr>
      <w:b/>
      <w:bCs/>
      <w:szCs w:val="24"/>
    </w:rPr>
  </w:style>
  <w:style w:type="table" w:styleId="12">
    <w:name w:val="Table Grid"/>
    <w:basedOn w:val="11"/>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0"/>
  </w:style>
  <w:style w:type="character" w:styleId="15">
    <w:name w:val="Hyperlink"/>
    <w:basedOn w:val="13"/>
    <w:unhideWhenUsed/>
    <w:qFormat/>
    <w:uiPriority w:val="99"/>
    <w:rPr>
      <w:color w:val="0000FF" w:themeColor="hyperlink"/>
      <w:u w:val="single"/>
      <w14:textFill>
        <w14:solidFill>
          <w14:schemeClr w14:val="hlink"/>
        </w14:solidFill>
      </w14:textFill>
    </w:rPr>
  </w:style>
  <w:style w:type="character" w:styleId="16">
    <w:name w:val="annotation reference"/>
    <w:unhideWhenUsed/>
    <w:qFormat/>
    <w:uiPriority w:val="99"/>
    <w:rPr>
      <w:sz w:val="21"/>
      <w:szCs w:val="21"/>
    </w:rPr>
  </w:style>
  <w:style w:type="character" w:customStyle="1" w:styleId="17">
    <w:name w:val="页眉 Char"/>
    <w:basedOn w:val="13"/>
    <w:link w:val="8"/>
    <w:qFormat/>
    <w:uiPriority w:val="99"/>
    <w:rPr>
      <w:sz w:val="18"/>
      <w:szCs w:val="18"/>
    </w:rPr>
  </w:style>
  <w:style w:type="character" w:customStyle="1" w:styleId="18">
    <w:name w:val="页脚 Char"/>
    <w:basedOn w:val="13"/>
    <w:link w:val="7"/>
    <w:qFormat/>
    <w:uiPriority w:val="99"/>
    <w:rPr>
      <w:sz w:val="18"/>
      <w:szCs w:val="18"/>
    </w:rPr>
  </w:style>
  <w:style w:type="character" w:customStyle="1" w:styleId="19">
    <w:name w:val="日期 Char"/>
    <w:basedOn w:val="13"/>
    <w:link w:val="5"/>
    <w:qFormat/>
    <w:uiPriority w:val="0"/>
  </w:style>
  <w:style w:type="character" w:customStyle="1" w:styleId="20">
    <w:name w:val="标题 1 Char"/>
    <w:basedOn w:val="13"/>
    <w:qFormat/>
    <w:uiPriority w:val="9"/>
    <w:rPr>
      <w:b/>
      <w:bCs/>
      <w:kern w:val="44"/>
      <w:sz w:val="44"/>
      <w:szCs w:val="44"/>
    </w:rPr>
  </w:style>
  <w:style w:type="character" w:customStyle="1" w:styleId="21">
    <w:name w:val="批注主题 Char1"/>
    <w:link w:val="10"/>
    <w:qFormat/>
    <w:uiPriority w:val="99"/>
    <w:rPr>
      <w:b/>
      <w:bCs/>
      <w:szCs w:val="24"/>
    </w:rPr>
  </w:style>
  <w:style w:type="character" w:customStyle="1" w:styleId="22">
    <w:name w:val="页眉 字符"/>
    <w:qFormat/>
    <w:uiPriority w:val="0"/>
    <w:rPr>
      <w:sz w:val="18"/>
      <w:szCs w:val="18"/>
    </w:rPr>
  </w:style>
  <w:style w:type="character" w:customStyle="1" w:styleId="23">
    <w:name w:val="页脚 字符"/>
    <w:qFormat/>
    <w:uiPriority w:val="99"/>
    <w:rPr>
      <w:sz w:val="18"/>
      <w:szCs w:val="18"/>
    </w:rPr>
  </w:style>
  <w:style w:type="character" w:customStyle="1" w:styleId="24">
    <w:name w:val="标题 1 Char1"/>
    <w:link w:val="2"/>
    <w:qFormat/>
    <w:uiPriority w:val="0"/>
    <w:rPr>
      <w:rFonts w:ascii="仿宋_GB2312" w:hAnsi="Times New Roman" w:eastAsia="仿宋_GB2312" w:cs="Times New Roman"/>
      <w:kern w:val="0"/>
      <w:sz w:val="28"/>
      <w:szCs w:val="20"/>
    </w:rPr>
  </w:style>
  <w:style w:type="character" w:customStyle="1" w:styleId="25">
    <w:name w:val="批注框文本 Char1"/>
    <w:link w:val="6"/>
    <w:qFormat/>
    <w:uiPriority w:val="99"/>
    <w:rPr>
      <w:sz w:val="18"/>
      <w:szCs w:val="18"/>
    </w:rPr>
  </w:style>
  <w:style w:type="character" w:customStyle="1" w:styleId="26">
    <w:name w:val="批注文字 字符"/>
    <w:semiHidden/>
    <w:qFormat/>
    <w:uiPriority w:val="99"/>
    <w:rPr>
      <w:kern w:val="2"/>
      <w:sz w:val="21"/>
      <w:szCs w:val="24"/>
    </w:rPr>
  </w:style>
  <w:style w:type="character" w:customStyle="1" w:styleId="27">
    <w:name w:val="font11"/>
    <w:qFormat/>
    <w:uiPriority w:val="0"/>
    <w:rPr>
      <w:rFonts w:hint="eastAsia" w:ascii="宋体" w:hAnsi="宋体" w:eastAsia="宋体" w:cs="宋体"/>
      <w:b/>
      <w:color w:val="000000"/>
      <w:sz w:val="32"/>
      <w:szCs w:val="32"/>
      <w:u w:val="none"/>
    </w:rPr>
  </w:style>
  <w:style w:type="character" w:customStyle="1" w:styleId="28">
    <w:name w:val="批注文字 Char"/>
    <w:basedOn w:val="13"/>
    <w:link w:val="3"/>
    <w:semiHidden/>
    <w:qFormat/>
    <w:uiPriority w:val="99"/>
  </w:style>
  <w:style w:type="character" w:customStyle="1" w:styleId="29">
    <w:name w:val="批注主题 Char"/>
    <w:basedOn w:val="28"/>
    <w:semiHidden/>
    <w:qFormat/>
    <w:uiPriority w:val="99"/>
    <w:rPr>
      <w:b/>
      <w:bCs/>
    </w:rPr>
  </w:style>
  <w:style w:type="character" w:customStyle="1" w:styleId="30">
    <w:name w:val="批注框文本 Char"/>
    <w:basedOn w:val="13"/>
    <w:semiHidden/>
    <w:qFormat/>
    <w:uiPriority w:val="99"/>
    <w:rPr>
      <w:sz w:val="18"/>
      <w:szCs w:val="18"/>
    </w:rPr>
  </w:style>
  <w:style w:type="paragraph" w:customStyle="1" w:styleId="31">
    <w:name w:val="日期1"/>
    <w:basedOn w:val="1"/>
    <w:next w:val="1"/>
    <w:qFormat/>
    <w:uiPriority w:val="0"/>
    <w:pPr>
      <w:ind w:left="100" w:leftChars="2500"/>
    </w:pPr>
    <w:rPr>
      <w:rFonts w:ascii="Times New Roman" w:hAnsi="Times New Roman" w:eastAsia="宋体" w:cs="Times New Roman"/>
      <w:szCs w:val="24"/>
    </w:rPr>
  </w:style>
  <w:style w:type="character" w:customStyle="1" w:styleId="32">
    <w:name w:val="纯文本 Char"/>
    <w:basedOn w:val="13"/>
    <w:link w:val="4"/>
    <w:qFormat/>
    <w:uiPriority w:val="0"/>
    <w:rPr>
      <w:rFonts w:ascii="仿宋_GB2312" w:hAnsi="Times New Roman" w:eastAsia="宋体" w:cs="Times New Roman"/>
      <w:sz w:val="24"/>
      <w:szCs w:val="24"/>
    </w:rPr>
  </w:style>
  <w:style w:type="paragraph" w:customStyle="1" w:styleId="33">
    <w:name w:val="Char"/>
    <w:basedOn w:val="1"/>
    <w:qFormat/>
    <w:uiPriority w:val="0"/>
    <w:pPr>
      <w:tabs>
        <w:tab w:val="left" w:pos="425"/>
      </w:tabs>
      <w:ind w:left="425" w:hanging="425"/>
    </w:pPr>
    <w:rPr>
      <w:rFonts w:ascii="Times New Roman" w:hAnsi="Times New Roman" w:eastAsia="宋体" w:cs="Times New Roman"/>
      <w:szCs w:val="24"/>
    </w:rPr>
  </w:style>
  <w:style w:type="paragraph" w:customStyle="1" w:styleId="34">
    <w:name w:val="列出段落1"/>
    <w:basedOn w:val="1"/>
    <w:qFormat/>
    <w:uiPriority w:val="0"/>
    <w:pPr>
      <w:ind w:firstLine="420" w:firstLineChars="200"/>
    </w:pPr>
    <w:rPr>
      <w:rFonts w:ascii="Calibri" w:hAnsi="Calibri" w:eastAsia="宋体" w:cs="Times New Roman"/>
    </w:rPr>
  </w:style>
  <w:style w:type="paragraph" w:styleId="35">
    <w:name w:val="List Paragraph"/>
    <w:basedOn w:val="1"/>
    <w:qFormat/>
    <w:uiPriority w:val="34"/>
    <w:pPr>
      <w:ind w:firstLine="420" w:firstLineChars="200"/>
    </w:pPr>
  </w:style>
  <w:style w:type="paragraph" w:customStyle="1" w:styleId="36">
    <w:name w:val="olistparagraph"/>
    <w:basedOn w:val="1"/>
    <w:qFormat/>
    <w:uiPriority w:val="0"/>
    <w:pPr>
      <w:spacing w:before="100" w:beforeAutospacing="1" w:after="100" w:afterAutospacing="1"/>
      <w:jc w:val="left"/>
    </w:pPr>
    <w:rPr>
      <w:rFonts w:ascii="Calibri" w:hAnsi="Calibri" w:eastAsia="宋体" w:cs="Times New Roman"/>
      <w:kern w:val="0"/>
      <w:sz w:val="24"/>
      <w:szCs w:val="24"/>
    </w:rPr>
  </w:style>
  <w:style w:type="paragraph" w:customStyle="1" w:styleId="37">
    <w:name w:val="onormal"/>
    <w:basedOn w:val="1"/>
    <w:qFormat/>
    <w:uiPriority w:val="0"/>
    <w:pPr>
      <w:spacing w:before="100" w:beforeAutospacing="1" w:after="100" w:afterAutospacing="1"/>
      <w:jc w:val="left"/>
    </w:pPr>
    <w:rPr>
      <w:rFonts w:ascii="Calibri" w:hAnsi="Calibri" w:eastAsia="宋体" w:cs="Times New Roman"/>
      <w:kern w:val="0"/>
      <w:sz w:val="24"/>
      <w:szCs w:val="24"/>
    </w:rPr>
  </w:style>
  <w:style w:type="character" w:customStyle="1" w:styleId="38">
    <w:name w:val="纯文本 Char1"/>
    <w:qFormat/>
    <w:locked/>
    <w:uiPriority w:val="0"/>
    <w:rPr>
      <w:rFonts w:hint="eastAsia" w:ascii="仿宋_GB2312" w:hAnsi="Calibri" w:eastAsia="仿宋_GB2312"/>
      <w:kern w:val="2"/>
      <w:sz w:val="24"/>
      <w:szCs w:val="24"/>
    </w:rPr>
  </w:style>
  <w:style w:type="paragraph" w:customStyle="1" w:styleId="39">
    <w:name w:val="sonormal"/>
    <w:basedOn w:val="1"/>
    <w:qFormat/>
    <w:uiPriority w:val="0"/>
    <w:pPr>
      <w:spacing w:before="100" w:beforeAutospacing="1" w:after="100" w:afterAutospacing="1"/>
      <w:jc w:val="left"/>
    </w:pPr>
    <w:rPr>
      <w:rFonts w:ascii="Calibri" w:hAnsi="Calibri" w:eastAsia="宋体" w:cs="Times New Roman"/>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hps</Company>
  <Pages>4</Pages>
  <Words>2592</Words>
  <Characters>2912</Characters>
  <Lines>16</Lines>
  <Paragraphs>4</Paragraphs>
  <TotalTime>0</TotalTime>
  <ScaleCrop>false</ScaleCrop>
  <LinksUpToDate>false</LinksUpToDate>
  <CharactersWithSpaces>2918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2024-05-21T06:29:00Z</dcterms:created>
  <dc:creator>宋莎莎</dc:creator>
  <cp:lastModifiedBy>艇</cp:lastModifiedBy>
  <cp:lastPrinted>2023-02-16T02:21:00Z</cp:lastPrinted>
  <dcterms:modified xsi:type="dcterms:W3CDTF">2026-09-11T01:45:47Z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eyJoZGlkIjoiNmYzNDJiNmE2ZTVmOWYzM2JmODAyZDUxNzc3NzUyZTUiLCJ1c2VySWQiOiI3MzY4MTk5MTEifQ==</vt:lpwstr>
  </property>
  <property fmtid="{D5CDD505-2E9C-101B-9397-08002B2CF9AE}" pid="3" name="KSOProductBuildVer">
    <vt:lpwstr>2052-12.1.0.28505</vt:lpwstr>
  </property>
  <property fmtid="{D5CDD505-2E9C-101B-9397-08002B2CF9AE}" pid="4" name="ICV">
    <vt:lpwstr>573FAA350DFA4916A3B80F12BF8704CE_12</vt:lpwstr>
  </property>
</Properties>
</file>