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4"/>
          <w:szCs w:val="44"/>
        </w:rPr>
      </w:pPr>
    </w:p>
    <w:p>
      <w:pPr>
        <w:jc w:val="center"/>
        <w:rPr>
          <w:rFonts w:hint="eastAsia"/>
          <w:sz w:val="44"/>
          <w:szCs w:val="44"/>
        </w:rPr>
      </w:pPr>
    </w:p>
    <w:p>
      <w:pPr>
        <w:jc w:val="center"/>
        <w:rPr>
          <w:rFonts w:hint="eastAsia"/>
          <w:sz w:val="44"/>
          <w:szCs w:val="44"/>
        </w:rPr>
      </w:pPr>
    </w:p>
    <w:p>
      <w:pPr>
        <w:jc w:val="center"/>
        <w:rPr>
          <w:rFonts w:hint="eastAsia"/>
          <w:sz w:val="44"/>
          <w:szCs w:val="44"/>
        </w:rPr>
      </w:pPr>
    </w:p>
    <w:p>
      <w:pPr>
        <w:jc w:val="center"/>
        <w:rPr>
          <w:rFonts w:hint="eastAsia" w:ascii="黑体" w:hAnsi="黑体" w:eastAsia="黑体"/>
          <w:sz w:val="44"/>
          <w:szCs w:val="44"/>
        </w:rPr>
      </w:pPr>
      <w:r>
        <w:rPr>
          <w:rFonts w:hint="eastAsia" w:ascii="黑体" w:hAnsi="黑体" w:eastAsia="黑体"/>
          <w:sz w:val="44"/>
          <w:szCs w:val="44"/>
        </w:rPr>
        <w:t>极区地磁三分量相对变化观测</w:t>
      </w:r>
    </w:p>
    <w:p>
      <w:pPr>
        <w:jc w:val="center"/>
        <w:rPr>
          <w:rFonts w:hint="eastAsia" w:ascii="黑体" w:hAnsi="黑体" w:eastAsia="黑体"/>
          <w:sz w:val="44"/>
          <w:szCs w:val="44"/>
        </w:rPr>
      </w:pPr>
    </w:p>
    <w:p>
      <w:pPr>
        <w:jc w:val="center"/>
        <w:rPr>
          <w:rFonts w:hint="eastAsia" w:ascii="黑体" w:hAnsi="黑体" w:eastAsia="黑体"/>
          <w:sz w:val="44"/>
          <w:szCs w:val="44"/>
        </w:rPr>
      </w:pPr>
      <w:r>
        <w:rPr>
          <w:rFonts w:hint="eastAsia" w:ascii="黑体" w:eastAsia="黑体"/>
          <w:sz w:val="84"/>
          <w:szCs w:val="84"/>
        </w:rPr>
        <w:t>编制说明</w:t>
      </w:r>
    </w:p>
    <w:p>
      <w:pPr>
        <w:jc w:val="center"/>
        <w:rPr>
          <w:rFonts w:hint="eastAsia" w:ascii="黑体" w:hAnsi="黑体" w:eastAsia="黑体"/>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both"/>
        <w:rPr>
          <w:rFonts w:hint="eastAsia"/>
          <w:sz w:val="32"/>
          <w:szCs w:val="32"/>
        </w:rPr>
      </w:pPr>
    </w:p>
    <w:p>
      <w:pPr>
        <w:jc w:val="center"/>
        <w:rPr>
          <w:rFonts w:hint="eastAsia" w:ascii="黑体" w:eastAsia="黑体"/>
          <w:sz w:val="36"/>
          <w:szCs w:val="36"/>
        </w:rPr>
      </w:pPr>
      <w:r>
        <w:rPr>
          <w:rFonts w:hint="eastAsia"/>
          <w:sz w:val="32"/>
          <w:szCs w:val="32"/>
        </w:rPr>
        <w:t>中国极地研究中心（中国极地研究所）</w:t>
      </w:r>
    </w:p>
    <w:p>
      <w:pPr>
        <w:jc w:val="center"/>
        <w:rPr>
          <w:rFonts w:hint="eastAsia"/>
          <w:sz w:val="32"/>
          <w:szCs w:val="32"/>
        </w:rPr>
      </w:pPr>
      <w:r>
        <w:rPr>
          <w:rFonts w:hint="eastAsia"/>
          <w:sz w:val="32"/>
          <w:szCs w:val="32"/>
        </w:rPr>
        <w:t>202</w:t>
      </w:r>
      <w:r>
        <w:rPr>
          <w:rFonts w:hint="eastAsia"/>
          <w:sz w:val="32"/>
          <w:szCs w:val="32"/>
          <w:lang w:val="en-US" w:eastAsia="zh-CN"/>
        </w:rPr>
        <w:t>3</w:t>
      </w:r>
      <w:r>
        <w:rPr>
          <w:rFonts w:hint="eastAsia"/>
          <w:sz w:val="32"/>
          <w:szCs w:val="32"/>
        </w:rPr>
        <w:t>年</w:t>
      </w:r>
      <w:r>
        <w:rPr>
          <w:rFonts w:hint="eastAsia"/>
          <w:sz w:val="32"/>
          <w:szCs w:val="32"/>
          <w:lang w:val="en-US" w:eastAsia="zh-CN"/>
        </w:rPr>
        <w:t>3</w:t>
      </w:r>
      <w:r>
        <w:rPr>
          <w:rFonts w:hint="eastAsia"/>
          <w:sz w:val="32"/>
          <w:szCs w:val="32"/>
        </w:rPr>
        <w:t>月</w:t>
      </w:r>
    </w:p>
    <w:p>
      <w:pPr>
        <w:adjustRightInd w:val="0"/>
        <w:snapToGrid w:val="0"/>
        <w:spacing w:line="360" w:lineRule="auto"/>
        <w:ind w:firstLine="420" w:firstLineChars="200"/>
        <w:outlineLvl w:val="3"/>
        <w:rPr>
          <w:rFonts w:hint="eastAsia"/>
          <w:b/>
          <w:sz w:val="28"/>
          <w:szCs w:val="28"/>
        </w:rPr>
      </w:pPr>
      <w:r>
        <w:br w:type="page"/>
      </w:r>
    </w:p>
    <w:p>
      <w:pPr>
        <w:adjustRightInd w:val="0"/>
        <w:snapToGrid w:val="0"/>
        <w:spacing w:line="360" w:lineRule="auto"/>
        <w:ind w:firstLine="640" w:firstLineChars="200"/>
        <w:jc w:val="center"/>
        <w:outlineLvl w:val="3"/>
        <w:rPr>
          <w:rFonts w:hint="eastAsia" w:ascii="黑体" w:hAnsi="黑体" w:eastAsia="黑体"/>
          <w:sz w:val="32"/>
          <w:szCs w:val="32"/>
        </w:rPr>
      </w:pPr>
      <w:r>
        <w:rPr>
          <w:rFonts w:hint="eastAsia" w:ascii="黑体" w:hAnsi="黑体" w:eastAsia="黑体"/>
          <w:sz w:val="32"/>
          <w:szCs w:val="32"/>
        </w:rPr>
        <w:t>目  次</w:t>
      </w:r>
    </w:p>
    <w:p>
      <w:pPr>
        <w:tabs>
          <w:tab w:val="left" w:pos="420"/>
        </w:tabs>
        <w:spacing w:line="360" w:lineRule="auto"/>
        <w:ind w:left="0" w:leftChars="0" w:firstLine="420" w:firstLineChars="175"/>
        <w:rPr>
          <w:rFonts w:ascii="宋体" w:hAnsi="宋体"/>
          <w:sz w:val="24"/>
        </w:rPr>
      </w:pPr>
      <w:r>
        <w:rPr>
          <w:rFonts w:hint="eastAsia" w:ascii="宋体" w:hAnsi="宋体"/>
          <w:sz w:val="24"/>
        </w:rPr>
        <w:t>一、</w:t>
      </w:r>
      <w:r>
        <w:rPr>
          <w:rFonts w:ascii="宋体" w:hAnsi="宋体"/>
          <w:sz w:val="24"/>
        </w:rPr>
        <w:t>工作简况</w:t>
      </w:r>
    </w:p>
    <w:p>
      <w:pPr>
        <w:spacing w:line="360" w:lineRule="auto"/>
        <w:ind w:firstLine="420" w:firstLineChars="0"/>
        <w:rPr>
          <w:rFonts w:hint="eastAsia" w:ascii="宋体" w:hAnsi="宋体"/>
          <w:sz w:val="24"/>
        </w:rPr>
      </w:pPr>
      <w:r>
        <w:rPr>
          <w:rFonts w:hint="eastAsia" w:ascii="宋体" w:hAnsi="宋体"/>
          <w:sz w:val="24"/>
        </w:rPr>
        <w:t>二、</w:t>
      </w:r>
      <w:r>
        <w:rPr>
          <w:rFonts w:ascii="宋体" w:hAnsi="宋体"/>
          <w:sz w:val="24"/>
        </w:rPr>
        <w:t>标准编制原则和</w:t>
      </w:r>
      <w:r>
        <w:rPr>
          <w:rFonts w:hint="eastAsia" w:ascii="宋体" w:hAnsi="宋体"/>
          <w:sz w:val="24"/>
        </w:rPr>
        <w:t>确定</w:t>
      </w:r>
      <w:r>
        <w:rPr>
          <w:rFonts w:ascii="宋体" w:hAnsi="宋体"/>
          <w:sz w:val="24"/>
        </w:rPr>
        <w:t>主要内容的论据</w:t>
      </w:r>
    </w:p>
    <w:p>
      <w:pPr>
        <w:tabs>
          <w:tab w:val="left" w:pos="420"/>
        </w:tabs>
        <w:spacing w:line="360" w:lineRule="auto"/>
        <w:ind w:left="900" w:leftChars="200" w:hanging="480" w:hangingChars="200"/>
        <w:rPr>
          <w:rFonts w:ascii="宋体" w:hAnsi="宋体"/>
          <w:sz w:val="24"/>
        </w:rPr>
      </w:pPr>
      <w:r>
        <w:rPr>
          <w:rFonts w:hint="eastAsia" w:ascii="宋体" w:hAnsi="宋体"/>
          <w:sz w:val="24"/>
        </w:rPr>
        <w:t>三、</w:t>
      </w:r>
      <w:r>
        <w:rPr>
          <w:rFonts w:ascii="宋体" w:hAnsi="宋体"/>
          <w:sz w:val="24"/>
        </w:rPr>
        <w:t>主要试验(或验证)的分析、综述报告</w:t>
      </w:r>
      <w:r>
        <w:rPr>
          <w:rFonts w:hint="eastAsia" w:ascii="宋体" w:hAnsi="宋体"/>
          <w:sz w:val="24"/>
        </w:rPr>
        <w:t>、</w:t>
      </w:r>
      <w:r>
        <w:rPr>
          <w:rFonts w:ascii="宋体" w:hAnsi="宋体"/>
          <w:sz w:val="24"/>
        </w:rPr>
        <w:fldChar w:fldCharType="begin"/>
      </w:r>
      <w:r>
        <w:rPr>
          <w:rFonts w:ascii="宋体" w:hAnsi="宋体"/>
          <w:sz w:val="24"/>
        </w:rPr>
        <w:instrText xml:space="preserve"> HYPERLINK "http://baike.baidu.com/view/403371.htm" \t "_blank" </w:instrText>
      </w:r>
      <w:r>
        <w:rPr>
          <w:rFonts w:ascii="宋体" w:hAnsi="宋体"/>
          <w:sz w:val="24"/>
        </w:rPr>
        <w:fldChar w:fldCharType="separate"/>
      </w:r>
      <w:r>
        <w:rPr>
          <w:sz w:val="24"/>
        </w:rPr>
        <w:t>技术经济论证</w:t>
      </w:r>
      <w:r>
        <w:rPr>
          <w:rFonts w:ascii="宋体" w:hAnsi="宋体"/>
          <w:sz w:val="24"/>
        </w:rPr>
        <w:fldChar w:fldCharType="end"/>
      </w:r>
      <w:r>
        <w:rPr>
          <w:rFonts w:hint="eastAsia" w:ascii="宋体" w:hAnsi="宋体"/>
          <w:sz w:val="24"/>
        </w:rPr>
        <w:t>及</w:t>
      </w:r>
      <w:r>
        <w:rPr>
          <w:rFonts w:ascii="宋体" w:hAnsi="宋体"/>
          <w:sz w:val="24"/>
        </w:rPr>
        <w:t>预期的</w:t>
      </w:r>
      <w:r>
        <w:rPr>
          <w:rFonts w:ascii="宋体" w:hAnsi="宋体"/>
          <w:sz w:val="24"/>
        </w:rPr>
        <w:fldChar w:fldCharType="begin"/>
      </w:r>
      <w:r>
        <w:rPr>
          <w:rFonts w:ascii="宋体" w:hAnsi="宋体"/>
          <w:sz w:val="24"/>
        </w:rPr>
        <w:instrText xml:space="preserve"> HYPERLINK "http://baike.baidu.com/view/1277218.htm" \t "_blank" </w:instrText>
      </w:r>
      <w:r>
        <w:rPr>
          <w:rFonts w:ascii="宋体" w:hAnsi="宋体"/>
          <w:sz w:val="24"/>
        </w:rPr>
        <w:fldChar w:fldCharType="separate"/>
      </w:r>
      <w:r>
        <w:rPr>
          <w:sz w:val="24"/>
        </w:rPr>
        <w:t>经济效果</w:t>
      </w:r>
      <w:r>
        <w:rPr>
          <w:rFonts w:ascii="宋体" w:hAnsi="宋体"/>
          <w:sz w:val="24"/>
        </w:rPr>
        <w:fldChar w:fldCharType="end"/>
      </w:r>
    </w:p>
    <w:p>
      <w:pPr>
        <w:tabs>
          <w:tab w:val="left" w:pos="420"/>
        </w:tabs>
        <w:spacing w:line="360" w:lineRule="auto"/>
        <w:ind w:left="900" w:leftChars="200" w:hanging="480" w:hangingChars="200"/>
        <w:rPr>
          <w:rFonts w:hint="eastAsia" w:ascii="宋体" w:hAnsi="宋体"/>
          <w:sz w:val="24"/>
        </w:rPr>
      </w:pPr>
      <w:r>
        <w:rPr>
          <w:rFonts w:hint="eastAsia" w:ascii="宋体" w:hAnsi="宋体"/>
          <w:sz w:val="24"/>
        </w:rPr>
        <w:t>四、</w:t>
      </w:r>
      <w:r>
        <w:rPr>
          <w:rFonts w:ascii="宋体" w:hAnsi="宋体"/>
          <w:sz w:val="24"/>
        </w:rPr>
        <w:fldChar w:fldCharType="begin"/>
      </w:r>
      <w:r>
        <w:rPr>
          <w:rFonts w:ascii="宋体" w:hAnsi="宋体"/>
          <w:sz w:val="24"/>
        </w:rPr>
        <w:instrText xml:space="preserve"> HYPERLINK "http://baike.baidu.com/view/872143.htm" \t "_blank" </w:instrText>
      </w:r>
      <w:r>
        <w:rPr>
          <w:rFonts w:ascii="宋体" w:hAnsi="宋体"/>
          <w:sz w:val="24"/>
        </w:rPr>
        <w:fldChar w:fldCharType="separate"/>
      </w:r>
      <w:r>
        <w:rPr>
          <w:sz w:val="24"/>
        </w:rPr>
        <w:t>采用国际标准</w:t>
      </w:r>
      <w:r>
        <w:rPr>
          <w:rFonts w:ascii="宋体" w:hAnsi="宋体"/>
          <w:sz w:val="24"/>
        </w:rPr>
        <w:fldChar w:fldCharType="end"/>
      </w:r>
      <w:r>
        <w:rPr>
          <w:rFonts w:ascii="宋体" w:hAnsi="宋体"/>
          <w:sz w:val="24"/>
        </w:rPr>
        <w:t>和</w:t>
      </w:r>
      <w:r>
        <w:rPr>
          <w:rFonts w:ascii="宋体" w:hAnsi="宋体"/>
          <w:sz w:val="24"/>
        </w:rPr>
        <w:fldChar w:fldCharType="begin"/>
      </w:r>
      <w:r>
        <w:rPr>
          <w:rFonts w:ascii="宋体" w:hAnsi="宋体"/>
          <w:sz w:val="24"/>
        </w:rPr>
        <w:instrText xml:space="preserve"> HYPERLINK "http://baike.baidu.com/view/2114240.htm" \t "_blank" </w:instrText>
      </w:r>
      <w:r>
        <w:rPr>
          <w:rFonts w:ascii="宋体" w:hAnsi="宋体"/>
          <w:sz w:val="24"/>
        </w:rPr>
        <w:fldChar w:fldCharType="separate"/>
      </w:r>
      <w:r>
        <w:rPr>
          <w:sz w:val="24"/>
        </w:rPr>
        <w:t>国外先进标准</w:t>
      </w:r>
      <w:r>
        <w:rPr>
          <w:rFonts w:ascii="宋体" w:hAnsi="宋体"/>
          <w:sz w:val="24"/>
        </w:rPr>
        <w:fldChar w:fldCharType="end"/>
      </w:r>
      <w:r>
        <w:rPr>
          <w:rFonts w:ascii="宋体" w:hAnsi="宋体"/>
          <w:sz w:val="24"/>
        </w:rPr>
        <w:t>的程度及与国际、国外同类标准水平的对比</w:t>
      </w:r>
      <w:r>
        <w:rPr>
          <w:rFonts w:hint="eastAsia" w:ascii="宋体" w:hAnsi="宋体"/>
          <w:sz w:val="24"/>
        </w:rPr>
        <w:t>（</w:t>
      </w:r>
      <w:r>
        <w:rPr>
          <w:rFonts w:ascii="宋体" w:hAnsi="宋体"/>
          <w:sz w:val="24"/>
        </w:rPr>
        <w:t>或与测试的国外样品、样机的有关数据对比</w:t>
      </w:r>
      <w:r>
        <w:rPr>
          <w:rFonts w:hint="eastAsia" w:ascii="宋体" w:hAnsi="宋体"/>
          <w:sz w:val="24"/>
        </w:rPr>
        <w:t>）</w:t>
      </w:r>
    </w:p>
    <w:p>
      <w:pPr>
        <w:tabs>
          <w:tab w:val="left" w:pos="420"/>
        </w:tabs>
        <w:spacing w:line="360" w:lineRule="auto"/>
        <w:ind w:firstLine="480" w:firstLineChars="200"/>
        <w:rPr>
          <w:rFonts w:ascii="宋体" w:hAnsi="宋体"/>
          <w:sz w:val="24"/>
        </w:rPr>
      </w:pPr>
      <w:r>
        <w:rPr>
          <w:rFonts w:hint="eastAsia" w:ascii="宋体" w:hAnsi="宋体"/>
          <w:sz w:val="24"/>
        </w:rPr>
        <w:t>五、</w:t>
      </w:r>
      <w:r>
        <w:rPr>
          <w:rFonts w:ascii="宋体" w:hAnsi="宋体"/>
          <w:sz w:val="24"/>
        </w:rPr>
        <w:t>与有关的现行法律、法规和强制性标准的关系</w:t>
      </w:r>
    </w:p>
    <w:p>
      <w:pPr>
        <w:tabs>
          <w:tab w:val="left" w:pos="420"/>
        </w:tabs>
        <w:spacing w:line="360" w:lineRule="auto"/>
        <w:ind w:firstLine="480" w:firstLineChars="200"/>
        <w:rPr>
          <w:rFonts w:ascii="宋体" w:hAnsi="宋体"/>
          <w:sz w:val="24"/>
        </w:rPr>
      </w:pPr>
      <w:r>
        <w:rPr>
          <w:rFonts w:hint="eastAsia" w:ascii="宋体" w:hAnsi="宋体"/>
          <w:sz w:val="24"/>
        </w:rPr>
        <w:t>六、</w:t>
      </w:r>
      <w:r>
        <w:rPr>
          <w:rFonts w:ascii="宋体" w:hAnsi="宋体"/>
          <w:sz w:val="24"/>
        </w:rPr>
        <w:t>重大分歧意见的处理经过和依据</w:t>
      </w:r>
    </w:p>
    <w:p>
      <w:pPr>
        <w:tabs>
          <w:tab w:val="left" w:pos="420"/>
        </w:tabs>
        <w:spacing w:line="360" w:lineRule="auto"/>
        <w:ind w:firstLine="480" w:firstLineChars="200"/>
        <w:rPr>
          <w:rFonts w:ascii="宋体" w:hAnsi="宋体"/>
          <w:sz w:val="24"/>
        </w:rPr>
      </w:pPr>
      <w:r>
        <w:rPr>
          <w:rFonts w:hint="eastAsia" w:ascii="宋体" w:hAnsi="宋体"/>
          <w:sz w:val="24"/>
        </w:rPr>
        <w:t>七、</w:t>
      </w:r>
      <w:r>
        <w:rPr>
          <w:rFonts w:ascii="宋体" w:hAnsi="宋体"/>
          <w:sz w:val="24"/>
        </w:rPr>
        <w:t>标准作为强制性标准或推荐性标准的建议</w:t>
      </w:r>
    </w:p>
    <w:p>
      <w:pPr>
        <w:tabs>
          <w:tab w:val="left" w:pos="420"/>
        </w:tabs>
        <w:spacing w:line="360" w:lineRule="auto"/>
        <w:ind w:firstLine="480" w:firstLineChars="200"/>
        <w:rPr>
          <w:rFonts w:ascii="宋体" w:hAnsi="宋体"/>
          <w:sz w:val="24"/>
        </w:rPr>
      </w:pPr>
      <w:r>
        <w:rPr>
          <w:rFonts w:hint="eastAsia" w:ascii="宋体" w:hAnsi="宋体"/>
          <w:sz w:val="24"/>
        </w:rPr>
        <w:t>八、</w:t>
      </w:r>
      <w:r>
        <w:rPr>
          <w:rFonts w:ascii="宋体" w:hAnsi="宋体"/>
          <w:sz w:val="24"/>
        </w:rPr>
        <w:t>贯彻标准的要求和措施建议</w:t>
      </w:r>
    </w:p>
    <w:p>
      <w:pPr>
        <w:tabs>
          <w:tab w:val="left" w:pos="420"/>
        </w:tabs>
        <w:spacing w:line="360" w:lineRule="auto"/>
        <w:ind w:firstLine="480" w:firstLineChars="200"/>
        <w:rPr>
          <w:rFonts w:hint="eastAsia" w:ascii="宋体" w:hAnsi="宋体"/>
          <w:sz w:val="24"/>
        </w:rPr>
      </w:pPr>
      <w:r>
        <w:rPr>
          <w:rFonts w:hint="eastAsia" w:ascii="宋体" w:hAnsi="宋体"/>
          <w:sz w:val="24"/>
        </w:rPr>
        <w:t>九、</w:t>
      </w:r>
      <w:r>
        <w:rPr>
          <w:rFonts w:ascii="宋体" w:hAnsi="宋体"/>
          <w:sz w:val="24"/>
        </w:rPr>
        <w:t>废止现行有关标准的建议</w:t>
      </w:r>
    </w:p>
    <w:p>
      <w:pPr>
        <w:tabs>
          <w:tab w:val="left" w:pos="420"/>
        </w:tabs>
        <w:spacing w:line="360" w:lineRule="auto"/>
        <w:ind w:firstLine="480" w:firstLineChars="200"/>
        <w:rPr>
          <w:rFonts w:ascii="宋体" w:hAnsi="宋体"/>
          <w:sz w:val="24"/>
        </w:rPr>
      </w:pPr>
      <w:r>
        <w:rPr>
          <w:rFonts w:hint="eastAsia" w:ascii="宋体" w:hAnsi="宋体"/>
          <w:sz w:val="24"/>
        </w:rPr>
        <w:t>十、</w:t>
      </w:r>
      <w:r>
        <w:rPr>
          <w:rFonts w:ascii="宋体" w:hAnsi="宋体"/>
          <w:sz w:val="24"/>
        </w:rPr>
        <w:t>其他应予说明的事项</w:t>
      </w:r>
    </w:p>
    <w:p>
      <w:pPr>
        <w:adjustRightInd w:val="0"/>
        <w:snapToGrid w:val="0"/>
        <w:spacing w:line="360" w:lineRule="auto"/>
        <w:ind w:firstLine="643" w:firstLineChars="200"/>
        <w:outlineLvl w:val="3"/>
        <w:rPr>
          <w:rFonts w:ascii="黑体" w:hAnsi="黑体" w:eastAsia="黑体"/>
          <w:b/>
          <w:sz w:val="32"/>
          <w:szCs w:val="32"/>
        </w:rPr>
      </w:pPr>
    </w:p>
    <w:p>
      <w:pPr>
        <w:adjustRightInd w:val="0"/>
        <w:snapToGrid w:val="0"/>
        <w:spacing w:line="360" w:lineRule="auto"/>
        <w:ind w:firstLine="562" w:firstLineChars="200"/>
        <w:outlineLvl w:val="3"/>
        <w:rPr>
          <w:rFonts w:hint="eastAsia"/>
          <w:b/>
          <w:sz w:val="28"/>
          <w:szCs w:val="28"/>
        </w:rPr>
      </w:pPr>
      <w:r>
        <w:rPr>
          <w:b/>
          <w:sz w:val="28"/>
          <w:szCs w:val="28"/>
        </w:rPr>
        <w:br w:type="page"/>
      </w:r>
    </w:p>
    <w:p>
      <w:pPr>
        <w:adjustRightInd w:val="0"/>
        <w:snapToGrid w:val="0"/>
        <w:ind w:firstLine="720" w:firstLineChars="200"/>
        <w:jc w:val="center"/>
        <w:outlineLvl w:val="3"/>
        <w:rPr>
          <w:rFonts w:hint="eastAsia" w:ascii="黑体" w:hAnsi="黑体" w:eastAsia="黑体"/>
          <w:sz w:val="36"/>
          <w:szCs w:val="36"/>
        </w:rPr>
      </w:pPr>
      <w:r>
        <w:rPr>
          <w:rFonts w:hint="eastAsia" w:ascii="黑体" w:hAnsi="黑体" w:eastAsia="黑体"/>
          <w:sz w:val="36"/>
          <w:szCs w:val="36"/>
        </w:rPr>
        <w:t>极区地磁三分量相对变化观测</w:t>
      </w:r>
    </w:p>
    <w:p>
      <w:pPr>
        <w:adjustRightInd w:val="0"/>
        <w:snapToGrid w:val="0"/>
        <w:spacing w:line="360" w:lineRule="auto"/>
        <w:ind w:firstLine="720" w:firstLineChars="200"/>
        <w:jc w:val="center"/>
        <w:outlineLvl w:val="3"/>
        <w:rPr>
          <w:rFonts w:hint="eastAsia" w:ascii="黑体" w:hAnsi="黑体" w:eastAsia="黑体"/>
          <w:sz w:val="36"/>
          <w:szCs w:val="36"/>
        </w:rPr>
      </w:pPr>
      <w:r>
        <w:rPr>
          <w:rFonts w:hint="eastAsia" w:ascii="黑体" w:hAnsi="黑体" w:eastAsia="黑体"/>
          <w:sz w:val="36"/>
          <w:szCs w:val="36"/>
        </w:rPr>
        <w:t>编制说明</w:t>
      </w:r>
    </w:p>
    <w:p>
      <w:pPr>
        <w:adjustRightInd w:val="0"/>
        <w:snapToGrid w:val="0"/>
        <w:spacing w:line="360" w:lineRule="auto"/>
        <w:jc w:val="left"/>
        <w:outlineLvl w:val="3"/>
        <w:rPr>
          <w:rFonts w:hint="eastAsia" w:ascii="Times New Roman" w:hAnsi="Times New Roman" w:eastAsia="宋体" w:cs="Times New Roman"/>
          <w:b/>
          <w:bCs/>
          <w:kern w:val="44"/>
          <w:sz w:val="30"/>
          <w:szCs w:val="30"/>
          <w:lang w:val="en-US" w:eastAsia="zh-CN" w:bidi="ar-SA"/>
        </w:rPr>
      </w:pPr>
      <w:r>
        <w:rPr>
          <w:rFonts w:hint="eastAsia" w:ascii="Times New Roman" w:hAnsi="Times New Roman" w:eastAsia="宋体" w:cs="Times New Roman"/>
          <w:b/>
          <w:bCs/>
          <w:kern w:val="44"/>
          <w:sz w:val="30"/>
          <w:szCs w:val="30"/>
          <w:lang w:val="en-US" w:eastAsia="zh-CN" w:bidi="ar-SA"/>
        </w:rPr>
        <w:t>一、工作简况</w:t>
      </w:r>
    </w:p>
    <w:p>
      <w:pPr>
        <w:adjustRightInd w:val="0"/>
        <w:snapToGrid w:val="0"/>
        <w:spacing w:line="360" w:lineRule="auto"/>
        <w:ind w:firstLine="560" w:firstLineChars="200"/>
        <w:outlineLvl w:val="3"/>
        <w:rPr>
          <w:rFonts w:hint="eastAsia"/>
          <w:sz w:val="28"/>
          <w:szCs w:val="28"/>
        </w:rPr>
      </w:pPr>
      <w:r>
        <w:rPr>
          <w:rFonts w:hint="eastAsia"/>
          <w:sz w:val="28"/>
          <w:szCs w:val="28"/>
          <w:lang w:val="en-US" w:eastAsia="zh-CN"/>
        </w:rPr>
        <w:t>1.1</w:t>
      </w:r>
      <w:r>
        <w:rPr>
          <w:rFonts w:hint="eastAsia"/>
          <w:sz w:val="28"/>
          <w:szCs w:val="28"/>
        </w:rPr>
        <w:t>任务来源</w:t>
      </w:r>
    </w:p>
    <w:p>
      <w:pPr>
        <w:adjustRightInd w:val="0"/>
        <w:snapToGrid w:val="0"/>
        <w:spacing w:line="360" w:lineRule="auto"/>
        <w:ind w:firstLine="420" w:firstLineChars="0"/>
        <w:outlineLvl w:val="3"/>
        <w:rPr>
          <w:rFonts w:hint="eastAsia" w:ascii="仿宋" w:hAnsi="仿宋" w:eastAsia="仿宋"/>
          <w:sz w:val="28"/>
          <w:szCs w:val="28"/>
        </w:rPr>
      </w:pPr>
      <w:r>
        <w:rPr>
          <w:rFonts w:hint="eastAsia" w:ascii="仿宋" w:hAnsi="仿宋" w:eastAsia="仿宋"/>
          <w:sz w:val="28"/>
          <w:szCs w:val="28"/>
        </w:rPr>
        <w:t>依据2022年9月1号，中国太平洋学会下达了团体标准制定计划的通知，由中国极地研究中心（中国极地研究所）负责编制《极区地磁三分量相对变化观测技术规程》团体标准，其计划项目编号为：PSC-JH-**。</w:t>
      </w:r>
    </w:p>
    <w:p>
      <w:pPr>
        <w:adjustRightInd w:val="0"/>
        <w:snapToGrid w:val="0"/>
        <w:spacing w:line="360" w:lineRule="auto"/>
        <w:ind w:firstLine="420" w:firstLineChars="0"/>
        <w:outlineLvl w:val="3"/>
        <w:rPr>
          <w:rFonts w:hint="eastAsia" w:ascii="仿宋" w:hAnsi="仿宋" w:eastAsia="仿宋"/>
          <w:sz w:val="28"/>
          <w:szCs w:val="28"/>
        </w:rPr>
      </w:pPr>
      <w:r>
        <w:rPr>
          <w:rFonts w:hint="eastAsia" w:ascii="仿宋" w:hAnsi="仿宋" w:eastAsia="仿宋"/>
          <w:sz w:val="28"/>
          <w:szCs w:val="28"/>
        </w:rPr>
        <w:t>负责起草单位是中国极地研究中心（中国极地研究所），以下简称极地中心。</w:t>
      </w:r>
    </w:p>
    <w:p>
      <w:pPr>
        <w:adjustRightInd w:val="0"/>
        <w:snapToGrid w:val="0"/>
        <w:spacing w:line="360" w:lineRule="auto"/>
        <w:ind w:firstLine="560" w:firstLineChars="200"/>
        <w:outlineLvl w:val="3"/>
        <w:rPr>
          <w:rFonts w:hint="eastAsia"/>
          <w:sz w:val="28"/>
          <w:szCs w:val="28"/>
          <w:lang w:val="en-US" w:eastAsia="zh-CN"/>
        </w:rPr>
      </w:pPr>
      <w:r>
        <w:rPr>
          <w:rFonts w:hint="eastAsia"/>
          <w:sz w:val="28"/>
          <w:szCs w:val="28"/>
          <w:lang w:val="en-US" w:eastAsia="zh-CN"/>
        </w:rPr>
        <w:t>1.2制定背景</w:t>
      </w:r>
    </w:p>
    <w:p>
      <w:pPr>
        <w:adjustRightInd w:val="0"/>
        <w:snapToGrid w:val="0"/>
        <w:spacing w:line="360" w:lineRule="auto"/>
        <w:ind w:firstLine="420" w:firstLineChars="0"/>
        <w:outlineLvl w:val="3"/>
        <w:rPr>
          <w:rFonts w:hint="eastAsia" w:ascii="仿宋" w:hAnsi="仿宋" w:eastAsia="仿宋"/>
          <w:sz w:val="28"/>
          <w:szCs w:val="28"/>
          <w:lang w:val="en-US" w:eastAsia="zh-CN"/>
        </w:rPr>
      </w:pPr>
      <w:r>
        <w:rPr>
          <w:rFonts w:hint="eastAsia" w:ascii="仿宋" w:hAnsi="仿宋" w:eastAsia="仿宋"/>
          <w:sz w:val="28"/>
          <w:szCs w:val="28"/>
        </w:rPr>
        <w:t>由于地球磁场的特殊位形，太阳风-磁层-电离层相互作用汇聚在极区</w:t>
      </w:r>
      <w:r>
        <w:rPr>
          <w:rFonts w:hint="eastAsia" w:ascii="仿宋" w:hAnsi="仿宋" w:eastAsia="仿宋"/>
          <w:sz w:val="28"/>
          <w:szCs w:val="28"/>
          <w:lang w:eastAsia="zh-CN"/>
        </w:rPr>
        <w:t>，利用极区磁力线特殊位形和地面台站的地理位置优势，开展极区</w:t>
      </w:r>
      <w:r>
        <w:rPr>
          <w:rFonts w:hint="eastAsia" w:ascii="仿宋" w:hAnsi="仿宋" w:eastAsia="仿宋"/>
          <w:sz w:val="28"/>
          <w:szCs w:val="28"/>
          <w:lang w:val="en-US" w:eastAsia="zh-CN"/>
        </w:rPr>
        <w:t>地磁三份量</w:t>
      </w:r>
      <w:r>
        <w:rPr>
          <w:rFonts w:hint="eastAsia" w:ascii="仿宋" w:hAnsi="仿宋" w:eastAsia="仿宋"/>
          <w:sz w:val="28"/>
          <w:szCs w:val="28"/>
          <w:lang w:eastAsia="zh-CN"/>
        </w:rPr>
        <w:t>的观测，对空间物理研究以及空间天气监测和预报具有特别重要的科学价值。</w:t>
      </w:r>
    </w:p>
    <w:p>
      <w:pPr>
        <w:adjustRightInd w:val="0"/>
        <w:snapToGrid w:val="0"/>
        <w:spacing w:line="360" w:lineRule="auto"/>
        <w:ind w:firstLine="420" w:firstLineChars="0"/>
        <w:outlineLvl w:val="3"/>
        <w:rPr>
          <w:rFonts w:hint="eastAsia" w:ascii="仿宋" w:hAnsi="仿宋" w:eastAsia="仿宋"/>
          <w:sz w:val="28"/>
          <w:szCs w:val="28"/>
        </w:rPr>
      </w:pPr>
      <w:r>
        <w:rPr>
          <w:rFonts w:hint="eastAsia" w:ascii="仿宋" w:hAnsi="仿宋" w:eastAsia="仿宋"/>
          <w:sz w:val="28"/>
          <w:szCs w:val="28"/>
        </w:rPr>
        <w:t>由于极区特殊地理位置和艰苦环境的限制，我国执行极区空间环境观测的人员不是固定的，每年都会随着南北极考察队更换。同时，极区</w:t>
      </w:r>
      <w:r>
        <w:rPr>
          <w:rFonts w:hint="eastAsia" w:ascii="仿宋" w:hAnsi="仿宋" w:eastAsia="仿宋"/>
          <w:sz w:val="28"/>
          <w:szCs w:val="28"/>
          <w:lang w:val="en-US" w:eastAsia="zh-CN"/>
        </w:rPr>
        <w:t>地磁三份量</w:t>
      </w:r>
      <w:r>
        <w:rPr>
          <w:rFonts w:hint="eastAsia" w:ascii="仿宋" w:hAnsi="仿宋" w:eastAsia="仿宋"/>
          <w:sz w:val="28"/>
          <w:szCs w:val="28"/>
        </w:rPr>
        <w:t>观测对场地条件、</w:t>
      </w:r>
      <w:r>
        <w:rPr>
          <w:rFonts w:hint="eastAsia" w:ascii="仿宋" w:hAnsi="仿宋" w:eastAsia="仿宋"/>
          <w:sz w:val="28"/>
          <w:szCs w:val="28"/>
          <w:lang w:val="en-US" w:eastAsia="zh-CN"/>
        </w:rPr>
        <w:t>磁力计</w:t>
      </w:r>
      <w:r>
        <w:rPr>
          <w:rFonts w:hint="eastAsia" w:ascii="仿宋" w:hAnsi="仿宋" w:eastAsia="仿宋"/>
          <w:sz w:val="28"/>
          <w:szCs w:val="28"/>
        </w:rPr>
        <w:t>操作规范的特殊要求和限制，因此非常必要制定在极地开展电离层对流观测方面的标准规范，保障观测活动的规范开展，保证观测数据的质量，实现规范化、标准化管理。</w:t>
      </w:r>
    </w:p>
    <w:p>
      <w:pPr>
        <w:adjustRightInd w:val="0"/>
        <w:snapToGrid w:val="0"/>
        <w:spacing w:line="360" w:lineRule="auto"/>
        <w:ind w:firstLine="560" w:firstLineChars="200"/>
        <w:outlineLvl w:val="3"/>
        <w:rPr>
          <w:rFonts w:hint="eastAsia"/>
          <w:sz w:val="28"/>
          <w:szCs w:val="28"/>
          <w:lang w:val="en-US" w:eastAsia="zh-CN"/>
        </w:rPr>
      </w:pPr>
      <w:bookmarkStart w:id="0" w:name="_Toc108789229"/>
      <w:r>
        <w:rPr>
          <w:rFonts w:hint="eastAsia"/>
          <w:sz w:val="28"/>
          <w:szCs w:val="28"/>
          <w:lang w:val="en-US" w:eastAsia="zh-CN"/>
        </w:rPr>
        <w:t>1.3 主要工作过程</w:t>
      </w:r>
      <w:bookmarkEnd w:id="0"/>
    </w:p>
    <w:p>
      <w:pPr>
        <w:pStyle w:val="4"/>
        <w:spacing w:before="156" w:beforeLines="50" w:after="0" w:line="360" w:lineRule="auto"/>
        <w:ind w:left="0" w:leftChars="0" w:firstLine="560" w:firstLineChars="200"/>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该标准编写的主要工作过程如下：</w:t>
      </w:r>
    </w:p>
    <w:p>
      <w:pPr>
        <w:spacing w:line="360" w:lineRule="auto"/>
        <w:ind w:firstLine="560" w:firstLineChars="200"/>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1.项目启动</w:t>
      </w:r>
    </w:p>
    <w:p>
      <w:pPr>
        <w:spacing w:line="360" w:lineRule="auto"/>
        <w:ind w:firstLine="560" w:firstLineChars="200"/>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组建标准起草组，进一步明确了分工，细化了制定计划与进度安排。起草组通过查阅学习GB/T 1.1-2020《标准化工作导则 第1部分：标准化文件的结构和起草规则》，对标准制修订程序、标准编写方法进行了系统地学习，为标准的起草奠定了基础。</w:t>
      </w:r>
    </w:p>
    <w:p>
      <w:pPr>
        <w:spacing w:line="360" w:lineRule="auto"/>
        <w:ind w:firstLine="560" w:firstLineChars="200"/>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2022年5月，极地中心极地大气和空间物理学研究团队召开腾讯视频会议（会议号：166-746-388），讨论关于《极区空间环境观测规范》和《极区空间环境标准》团标编写工作任务。</w:t>
      </w:r>
    </w:p>
    <w:p>
      <w:pPr>
        <w:spacing w:line="360" w:lineRule="auto"/>
        <w:ind w:firstLine="560" w:firstLineChars="200"/>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2.初稿编制</w:t>
      </w:r>
    </w:p>
    <w:p>
      <w:pPr>
        <w:spacing w:line="360" w:lineRule="auto"/>
        <w:ind w:firstLine="560" w:firstLineChars="200"/>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起草组在查询国内外相关标准和文献资料后，基本确定本标准所在领域没有实质性相关标准可以参考。起草组随即搜集相关文献和网站资料，以及相关标准，2022年5月，形成《极区地磁三份量观测技术规程》（初稿）。</w:t>
      </w:r>
    </w:p>
    <w:p>
      <w:pPr>
        <w:spacing w:line="360" w:lineRule="auto"/>
        <w:ind w:firstLine="560" w:firstLineChars="200"/>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3.立项阶段</w:t>
      </w:r>
    </w:p>
    <w:p>
      <w:pPr>
        <w:spacing w:line="360" w:lineRule="auto"/>
        <w:ind w:firstLine="560" w:firstLineChars="200"/>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2022年7月12日，中国太平洋学会针对海洋标准制定流程与团标立项申报进行线上培训，进一步明确标准指定规范。2022年7月18-19日，中国太平洋学会海洋标准化分会在天津主持召开《极区地基极光观测技术规程》等7项团体标准立项审查会，与会专家一致通过《极区地磁三份量观测技术规程》立项。</w:t>
      </w:r>
    </w:p>
    <w:p>
      <w:pPr>
        <w:spacing w:line="360" w:lineRule="auto"/>
        <w:ind w:firstLine="560" w:firstLineChars="200"/>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4.征求意见稿阶段</w:t>
      </w:r>
    </w:p>
    <w:p>
      <w:pPr>
        <w:adjustRightInd w:val="0"/>
        <w:snapToGrid w:val="0"/>
        <w:spacing w:line="360" w:lineRule="auto"/>
        <w:ind w:firstLine="420" w:firstLineChars="0"/>
        <w:outlineLvl w:val="3"/>
        <w:rPr>
          <w:rFonts w:hint="eastAsia" w:ascii="仿宋" w:hAnsi="仿宋" w:eastAsia="仿宋" w:cs="Times New Roman"/>
          <w:kern w:val="2"/>
          <w:sz w:val="28"/>
          <w:szCs w:val="28"/>
          <w:lang w:val="en-US" w:eastAsia="zh-CN" w:bidi="ar-SA"/>
        </w:rPr>
      </w:pPr>
      <w:r>
        <w:rPr>
          <w:rFonts w:hint="eastAsia" w:ascii="仿宋" w:hAnsi="仿宋" w:eastAsia="仿宋"/>
          <w:sz w:val="28"/>
          <w:szCs w:val="28"/>
          <w:lang w:val="en-US" w:eastAsia="zh-CN"/>
        </w:rPr>
        <w:t>根据立项审查会上专家提出的修改建议，于2022年9月完成了《极区地磁三份量观测技术规程》修改，形成征求意见稿。</w:t>
      </w:r>
    </w:p>
    <w:p>
      <w:pPr>
        <w:pStyle w:val="2"/>
        <w:numPr>
          <w:ilvl w:val="0"/>
          <w:numId w:val="1"/>
        </w:numPr>
        <w:spacing w:before="120" w:after="120" w:line="360" w:lineRule="auto"/>
        <w:rPr>
          <w:rFonts w:hint="eastAsia"/>
          <w:sz w:val="30"/>
          <w:szCs w:val="30"/>
        </w:rPr>
      </w:pPr>
      <w:bookmarkStart w:id="1" w:name="_Toc108789230"/>
      <w:r>
        <w:rPr>
          <w:rFonts w:hint="eastAsia"/>
          <w:sz w:val="30"/>
          <w:szCs w:val="30"/>
        </w:rPr>
        <w:t>标准编制原则和确定标准主要内容的论据</w:t>
      </w:r>
      <w:bookmarkEnd w:id="1"/>
    </w:p>
    <w:p>
      <w:pPr>
        <w:adjustRightInd w:val="0"/>
        <w:snapToGrid w:val="0"/>
        <w:spacing w:line="360" w:lineRule="auto"/>
        <w:ind w:firstLine="420" w:firstLineChars="0"/>
        <w:outlineLvl w:val="3"/>
        <w:rPr>
          <w:rFonts w:hint="eastAsia" w:ascii="仿宋" w:hAnsi="仿宋" w:eastAsia="仿宋"/>
          <w:sz w:val="28"/>
          <w:szCs w:val="28"/>
          <w:lang w:val="en-US" w:eastAsia="zh-CN"/>
        </w:rPr>
      </w:pPr>
      <w:bookmarkStart w:id="2" w:name="_Toc108789231"/>
      <w:r>
        <w:rPr>
          <w:rFonts w:hint="eastAsia" w:ascii="仿宋" w:hAnsi="仿宋" w:eastAsia="仿宋"/>
          <w:sz w:val="28"/>
          <w:szCs w:val="28"/>
          <w:lang w:val="en-US" w:eastAsia="zh-CN"/>
        </w:rPr>
        <w:t>2.1标准编制原则</w:t>
      </w:r>
      <w:bookmarkEnd w:id="2"/>
    </w:p>
    <w:p>
      <w:pPr>
        <w:adjustRightInd w:val="0"/>
        <w:snapToGrid w:val="0"/>
        <w:spacing w:line="360" w:lineRule="auto"/>
        <w:ind w:firstLine="420" w:firstLineChars="0"/>
        <w:outlineLvl w:val="3"/>
        <w:rPr>
          <w:rFonts w:hint="eastAsia" w:ascii="仿宋" w:hAnsi="仿宋" w:eastAsia="仿宋"/>
          <w:sz w:val="28"/>
          <w:szCs w:val="28"/>
          <w:lang w:val="en-US" w:eastAsia="zh-CN"/>
        </w:rPr>
      </w:pPr>
      <w:r>
        <w:rPr>
          <w:rFonts w:hint="eastAsia" w:ascii="仿宋" w:hAnsi="仿宋" w:eastAsia="仿宋"/>
          <w:sz w:val="28"/>
          <w:szCs w:val="28"/>
          <w:lang w:val="en-US" w:eastAsia="zh-CN"/>
        </w:rPr>
        <w:t>科学、合理、适用是我们编制标准的主要原则。主要体现在：</w:t>
      </w:r>
    </w:p>
    <w:p>
      <w:pPr>
        <w:adjustRightInd w:val="0"/>
        <w:snapToGrid w:val="0"/>
        <w:spacing w:line="360" w:lineRule="auto"/>
        <w:ind w:firstLine="420" w:firstLineChars="0"/>
        <w:outlineLvl w:val="3"/>
        <w:rPr>
          <w:rFonts w:hint="eastAsia" w:ascii="仿宋" w:hAnsi="仿宋" w:eastAsia="仿宋"/>
          <w:sz w:val="28"/>
          <w:szCs w:val="28"/>
          <w:lang w:val="en-US" w:eastAsia="zh-CN"/>
        </w:rPr>
      </w:pPr>
      <w:r>
        <w:rPr>
          <w:rFonts w:hint="eastAsia" w:ascii="仿宋" w:hAnsi="仿宋" w:eastAsia="仿宋"/>
          <w:sz w:val="28"/>
          <w:szCs w:val="28"/>
          <w:lang w:val="en-US" w:eastAsia="zh-CN"/>
        </w:rPr>
        <w:t>（1）科学性原则：标准编制过程中，始终坚持从应用实践出发，充分调研和参考国际、国家和行业等相关标准，总结吸收应用经验，注重标准的科学性。</w:t>
      </w:r>
    </w:p>
    <w:p>
      <w:pPr>
        <w:adjustRightInd w:val="0"/>
        <w:snapToGrid w:val="0"/>
        <w:spacing w:line="360" w:lineRule="auto"/>
        <w:ind w:firstLine="420" w:firstLineChars="0"/>
        <w:outlineLvl w:val="3"/>
        <w:rPr>
          <w:rFonts w:hint="eastAsia" w:ascii="仿宋" w:hAnsi="仿宋" w:eastAsia="仿宋"/>
          <w:sz w:val="28"/>
          <w:szCs w:val="28"/>
          <w:lang w:val="en-US" w:eastAsia="zh-CN"/>
        </w:rPr>
      </w:pPr>
      <w:r>
        <w:rPr>
          <w:rFonts w:hint="eastAsia" w:ascii="仿宋" w:hAnsi="仿宋" w:eastAsia="仿宋"/>
          <w:sz w:val="28"/>
          <w:szCs w:val="28"/>
          <w:lang w:val="en-US" w:eastAsia="zh-CN"/>
        </w:rPr>
        <w:t>（2）实用性原则：编制过程中，充分考虑极区地磁三份量观测的实际应用情况，本着应用出发基本原则，便于标准的普及和实施。</w:t>
      </w:r>
    </w:p>
    <w:p>
      <w:pPr>
        <w:adjustRightInd w:val="0"/>
        <w:snapToGrid w:val="0"/>
        <w:spacing w:line="360" w:lineRule="auto"/>
        <w:ind w:firstLine="420" w:firstLineChars="0"/>
        <w:outlineLvl w:val="3"/>
        <w:rPr>
          <w:rFonts w:hint="eastAsia" w:ascii="仿宋" w:hAnsi="仿宋" w:eastAsia="仿宋"/>
          <w:sz w:val="28"/>
          <w:szCs w:val="28"/>
          <w:lang w:val="en-US" w:eastAsia="zh-CN"/>
        </w:rPr>
      </w:pPr>
      <w:r>
        <w:rPr>
          <w:rFonts w:hint="eastAsia" w:ascii="仿宋" w:hAnsi="仿宋" w:eastAsia="仿宋"/>
          <w:sz w:val="28"/>
          <w:szCs w:val="28"/>
          <w:lang w:val="en-US" w:eastAsia="zh-CN"/>
        </w:rPr>
        <w:t>（3）通用性原则：编制过程中，编制组在调研大量资料，征求多方意见后，以通用性为基本原则，提出了极区地磁三份量观测方面的技术规程要求。</w:t>
      </w:r>
    </w:p>
    <w:p>
      <w:pPr>
        <w:adjustRightInd w:val="0"/>
        <w:snapToGrid w:val="0"/>
        <w:spacing w:line="360" w:lineRule="auto"/>
        <w:ind w:firstLine="420" w:firstLineChars="0"/>
        <w:outlineLvl w:val="3"/>
        <w:rPr>
          <w:rFonts w:hint="eastAsia" w:ascii="仿宋" w:hAnsi="仿宋" w:eastAsia="仿宋"/>
          <w:sz w:val="28"/>
          <w:szCs w:val="28"/>
          <w:lang w:val="en-US" w:eastAsia="zh-CN"/>
        </w:rPr>
      </w:pPr>
      <w:r>
        <w:rPr>
          <w:rFonts w:hint="eastAsia" w:ascii="仿宋" w:hAnsi="仿宋" w:eastAsia="仿宋"/>
          <w:sz w:val="28"/>
          <w:szCs w:val="28"/>
          <w:lang w:val="en-US" w:eastAsia="zh-CN"/>
        </w:rPr>
        <w:t>（4）规范性原则：本标准编制完全响应现行的国家强制标准和法律，与有关法律法规和强制性标准保持一致，以通过本技术规程要求规范极区地磁三份量观测活动。</w:t>
      </w:r>
    </w:p>
    <w:p>
      <w:pPr>
        <w:adjustRightInd w:val="0"/>
        <w:snapToGrid w:val="0"/>
        <w:spacing w:line="360" w:lineRule="auto"/>
        <w:ind w:firstLine="560" w:firstLineChars="200"/>
        <w:outlineLvl w:val="3"/>
        <w:rPr>
          <w:rFonts w:hint="eastAsia"/>
          <w:sz w:val="28"/>
          <w:szCs w:val="28"/>
          <w:lang w:val="en-US" w:eastAsia="zh-CN"/>
        </w:rPr>
      </w:pPr>
      <w:bookmarkStart w:id="3" w:name="_Toc108789232"/>
      <w:r>
        <w:rPr>
          <w:rFonts w:hint="eastAsia"/>
          <w:sz w:val="28"/>
          <w:szCs w:val="28"/>
          <w:lang w:val="en-US" w:eastAsia="zh-CN"/>
        </w:rPr>
        <w:t>2.2确定标准主要内容的论据</w:t>
      </w:r>
      <w:bookmarkEnd w:id="3"/>
    </w:p>
    <w:p>
      <w:pPr>
        <w:adjustRightInd w:val="0"/>
        <w:snapToGrid w:val="0"/>
        <w:spacing w:line="360" w:lineRule="auto"/>
        <w:ind w:firstLine="420" w:firstLineChars="0"/>
        <w:outlineLvl w:val="3"/>
        <w:rPr>
          <w:rFonts w:hint="eastAsia" w:ascii="仿宋" w:hAnsi="仿宋" w:eastAsia="仿宋"/>
          <w:sz w:val="28"/>
          <w:szCs w:val="28"/>
          <w:lang w:val="en-US" w:eastAsia="zh-CN"/>
        </w:rPr>
      </w:pPr>
      <w:r>
        <w:rPr>
          <w:rFonts w:hint="eastAsia" w:ascii="仿宋" w:hAnsi="仿宋" w:eastAsia="仿宋"/>
          <w:sz w:val="28"/>
          <w:szCs w:val="28"/>
          <w:lang w:val="en-US" w:eastAsia="zh-CN"/>
        </w:rPr>
        <w:t>标准编制的格式内容遵循了GB/T 1.1-2020《标准化工作导则 第1部分：标准化文件的结构和起草规则》等标准规定和要求，以规范完整地编写《极区地磁三份量观测技术规程》的团体标准。标准的编制是为规范极区地基观测技术规程观测技术规程的现场观测活动，适用于我国极地科考站利用地磁三份量测设备开展的地磁三份量观测。因此，在编写标准时，注重了该标准的实用性，以及切实可操作性，力求使本标准有广泛的使用基础和较为灵活的使用特点。</w:t>
      </w:r>
    </w:p>
    <w:p>
      <w:pPr>
        <w:adjustRightInd w:val="0"/>
        <w:snapToGrid w:val="0"/>
        <w:spacing w:line="360" w:lineRule="auto"/>
        <w:ind w:firstLine="420" w:firstLineChars="0"/>
        <w:outlineLvl w:val="3"/>
        <w:rPr>
          <w:rFonts w:hint="eastAsia" w:ascii="仿宋" w:hAnsi="仿宋" w:eastAsia="仿宋"/>
          <w:sz w:val="28"/>
          <w:szCs w:val="28"/>
          <w:lang w:val="en-US" w:eastAsia="zh-CN"/>
        </w:rPr>
      </w:pPr>
      <w:r>
        <w:rPr>
          <w:rFonts w:hint="eastAsia" w:ascii="仿宋" w:hAnsi="仿宋" w:eastAsia="仿宋"/>
          <w:sz w:val="28"/>
          <w:szCs w:val="28"/>
          <w:lang w:val="en-US" w:eastAsia="zh-CN"/>
        </w:rPr>
        <w:t>中国极地研究中心（中国极地研究所）是我国唯一在南北极地区开展地基极光光学观测、业务化运行的负责单位。中国南极科学考察的支持下，自2010年开始在南极中山站开展极区地磁三份量观测以来，连续开展多年的相关观测，积累了丰富的实践经验和宝贵的数据资料，为我们编制观测技术规程团体标准打下了坚实的基础。</w:t>
      </w:r>
    </w:p>
    <w:p>
      <w:pPr>
        <w:adjustRightInd w:val="0"/>
        <w:snapToGrid w:val="0"/>
        <w:spacing w:line="360" w:lineRule="auto"/>
        <w:ind w:firstLine="420" w:firstLineChars="0"/>
        <w:outlineLvl w:val="3"/>
        <w:rPr>
          <w:rFonts w:hint="eastAsia" w:ascii="仿宋" w:hAnsi="仿宋" w:eastAsia="仿宋"/>
          <w:sz w:val="28"/>
          <w:szCs w:val="28"/>
          <w:lang w:val="en-US" w:eastAsia="zh-CN"/>
        </w:rPr>
      </w:pPr>
      <w:r>
        <w:rPr>
          <w:rFonts w:hint="eastAsia" w:ascii="仿宋" w:hAnsi="仿宋" w:eastAsia="仿宋"/>
          <w:sz w:val="28"/>
          <w:szCs w:val="28"/>
          <w:lang w:val="en-US" w:eastAsia="zh-CN"/>
        </w:rPr>
        <w:t>项目组前期针对地磁三份量观测，同时鉴于目前我国尚无有关极区地磁三份量观测的观测技术规程团体标准，项目组目前我国在极区开展的所有地磁三份量观测项目进行提炼、梳理，从而确定有关观测技术规程。</w:t>
      </w:r>
    </w:p>
    <w:p>
      <w:pPr>
        <w:numPr>
          <w:numId w:val="0"/>
        </w:numPr>
        <w:rPr>
          <w:rFonts w:hint="eastAsia"/>
        </w:rPr>
      </w:pPr>
    </w:p>
    <w:p>
      <w:pPr>
        <w:adjustRightInd w:val="0"/>
        <w:snapToGrid w:val="0"/>
        <w:spacing w:line="360" w:lineRule="auto"/>
        <w:jc w:val="left"/>
        <w:outlineLvl w:val="3"/>
        <w:rPr>
          <w:rFonts w:hint="eastAsia" w:ascii="Times New Roman" w:hAnsi="Times New Roman" w:eastAsia="宋体" w:cs="Times New Roman"/>
          <w:b/>
          <w:bCs/>
          <w:kern w:val="44"/>
          <w:sz w:val="30"/>
          <w:szCs w:val="30"/>
          <w:lang w:val="en-US" w:eastAsia="zh-CN" w:bidi="ar-SA"/>
        </w:rPr>
      </w:pPr>
      <w:bookmarkStart w:id="4" w:name="_Toc108789233"/>
      <w:r>
        <w:rPr>
          <w:rFonts w:hint="eastAsia" w:ascii="Times New Roman" w:hAnsi="Times New Roman" w:eastAsia="宋体" w:cs="Times New Roman"/>
          <w:b/>
          <w:bCs/>
          <w:kern w:val="44"/>
          <w:sz w:val="30"/>
          <w:szCs w:val="30"/>
          <w:lang w:val="en-US" w:eastAsia="zh-CN" w:bidi="ar-SA"/>
        </w:rPr>
        <w:t>三、主要试验(或验证)的分析、综述报告，技术经济论证，预期的经济效果</w:t>
      </w:r>
      <w:bookmarkEnd w:id="4"/>
    </w:p>
    <w:p>
      <w:pPr>
        <w:adjustRightInd w:val="0"/>
        <w:snapToGrid w:val="0"/>
        <w:spacing w:line="360" w:lineRule="auto"/>
        <w:ind w:firstLine="420" w:firstLineChars="0"/>
        <w:outlineLvl w:val="3"/>
        <w:rPr>
          <w:rFonts w:hint="eastAsia" w:ascii="仿宋" w:hAnsi="仿宋" w:eastAsia="仿宋"/>
          <w:sz w:val="28"/>
          <w:szCs w:val="28"/>
          <w:lang w:val="en-US" w:eastAsia="zh-CN"/>
        </w:rPr>
      </w:pPr>
      <w:r>
        <w:rPr>
          <w:rFonts w:hint="eastAsia" w:ascii="仿宋" w:hAnsi="仿宋" w:eastAsia="仿宋"/>
          <w:sz w:val="28"/>
          <w:szCs w:val="28"/>
          <w:lang w:val="en-US" w:eastAsia="zh-CN"/>
        </w:rPr>
        <w:t>目前，标准起草单位中国极地研究中心（中国极地研究所）在南北极台站拥有多套地磁三份量观测设备，拥有近12年在南极部署和现场观测的运行经验，在本标准编写内容中，吸收借鉴实际工作的有效经验，对极区地磁三份量观测中需要考虑的外部环境、仪器设备、观测运行步骤等相关规范进行了总结。</w:t>
      </w:r>
    </w:p>
    <w:p>
      <w:pPr>
        <w:adjustRightInd w:val="0"/>
        <w:snapToGrid w:val="0"/>
        <w:spacing w:line="360" w:lineRule="auto"/>
        <w:ind w:firstLine="420" w:firstLineChars="0"/>
        <w:outlineLvl w:val="3"/>
        <w:rPr>
          <w:rFonts w:hint="eastAsia" w:ascii="仿宋" w:hAnsi="仿宋" w:eastAsia="仿宋"/>
          <w:sz w:val="28"/>
          <w:szCs w:val="28"/>
          <w:lang w:val="en-US" w:eastAsia="zh-CN"/>
        </w:rPr>
      </w:pPr>
      <w:r>
        <w:rPr>
          <w:rFonts w:hint="eastAsia" w:ascii="仿宋" w:hAnsi="仿宋" w:eastAsia="仿宋"/>
          <w:sz w:val="28"/>
          <w:szCs w:val="28"/>
          <w:lang w:val="en-US" w:eastAsia="zh-CN"/>
        </w:rPr>
        <w:t>本标准发布后，将成为我国极区空间物理观测中开展极区地磁三份量观测的技术规程团体标准，将极区现场观测运行向着更规范化的方向发展，填补极区地磁三份量观测技术规程的空白，为规范极区地磁三份量观测活动等提供依据，并为极区地磁三份量观测的业务化运行提供技术规程规范支撑。</w:t>
      </w:r>
    </w:p>
    <w:p>
      <w:pPr>
        <w:adjustRightInd w:val="0"/>
        <w:snapToGrid w:val="0"/>
        <w:spacing w:line="360" w:lineRule="auto"/>
        <w:jc w:val="left"/>
        <w:outlineLvl w:val="3"/>
        <w:rPr>
          <w:rFonts w:hint="eastAsia" w:ascii="Times New Roman" w:hAnsi="Times New Roman" w:eastAsia="宋体" w:cs="Times New Roman"/>
          <w:b/>
          <w:bCs/>
          <w:kern w:val="44"/>
          <w:sz w:val="30"/>
          <w:szCs w:val="30"/>
          <w:lang w:val="en-US" w:eastAsia="zh-CN" w:bidi="ar-SA"/>
        </w:rPr>
      </w:pPr>
      <w:bookmarkStart w:id="5" w:name="_Toc108789234"/>
      <w:r>
        <w:rPr>
          <w:rFonts w:hint="eastAsia" w:ascii="Times New Roman" w:hAnsi="Times New Roman" w:eastAsia="宋体" w:cs="Times New Roman"/>
          <w:b/>
          <w:bCs/>
          <w:kern w:val="44"/>
          <w:sz w:val="30"/>
          <w:szCs w:val="30"/>
          <w:lang w:val="en-US" w:eastAsia="zh-CN" w:bidi="ar-SA"/>
        </w:rPr>
        <w:t>四、采用国际标准和国外先进标准的程度，以及与国际、国外同类标准水平的对比情况，或与测试的国外样品、样机的有关数据对比情况</w:t>
      </w:r>
      <w:bookmarkEnd w:id="5"/>
    </w:p>
    <w:p>
      <w:pPr>
        <w:pStyle w:val="4"/>
        <w:spacing w:before="156" w:beforeLines="50" w:after="0" w:line="360" w:lineRule="auto"/>
        <w:ind w:left="0" w:leftChars="0" w:firstLine="560" w:firstLineChars="200"/>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根据收集的资料，在国内外公开发表的文献中，未见与该项目类似的、专门针对极区地磁三份量观测环境要求、仪器使用、观测步骤等的标准或规范性文件报道。该标准发布后将填补极区地磁三份量观测技术规程标准空白，为推动和规范相关观测活动提供了依据。</w:t>
      </w:r>
    </w:p>
    <w:p>
      <w:pPr>
        <w:adjustRightInd w:val="0"/>
        <w:snapToGrid w:val="0"/>
        <w:spacing w:line="360" w:lineRule="auto"/>
        <w:jc w:val="left"/>
        <w:outlineLvl w:val="3"/>
        <w:rPr>
          <w:rFonts w:hint="eastAsia" w:ascii="Times New Roman" w:hAnsi="Times New Roman" w:eastAsia="宋体" w:cs="Times New Roman"/>
          <w:b/>
          <w:bCs/>
          <w:kern w:val="44"/>
          <w:sz w:val="30"/>
          <w:szCs w:val="30"/>
          <w:lang w:val="en-US" w:eastAsia="zh-CN" w:bidi="ar-SA"/>
        </w:rPr>
      </w:pPr>
      <w:bookmarkStart w:id="6" w:name="_Toc108789235"/>
      <w:r>
        <w:rPr>
          <w:rFonts w:hint="eastAsia" w:ascii="Times New Roman" w:hAnsi="Times New Roman" w:eastAsia="宋体" w:cs="Times New Roman"/>
          <w:b/>
          <w:bCs/>
          <w:kern w:val="44"/>
          <w:sz w:val="30"/>
          <w:szCs w:val="30"/>
          <w:lang w:val="en-US" w:eastAsia="zh-CN" w:bidi="ar-SA"/>
        </w:rPr>
        <w:t>五、与有关的现行法律、法规和强制性标准的关系</w:t>
      </w:r>
      <w:bookmarkEnd w:id="6"/>
    </w:p>
    <w:p>
      <w:pPr>
        <w:spacing w:line="360" w:lineRule="auto"/>
        <w:ind w:firstLine="560" w:firstLineChars="200"/>
        <w:rPr>
          <w:sz w:val="24"/>
        </w:rPr>
      </w:pPr>
      <w:r>
        <w:rPr>
          <w:rFonts w:hint="eastAsia" w:ascii="仿宋" w:hAnsi="仿宋" w:eastAsia="仿宋" w:cs="Times New Roman"/>
          <w:kern w:val="2"/>
          <w:sz w:val="28"/>
          <w:szCs w:val="28"/>
          <w:lang w:val="en-US" w:eastAsia="zh-CN" w:bidi="ar-SA"/>
        </w:rPr>
        <w:t>本标准的编制，完全遵守和按照我国宪法和现行有关法律、法规的要求。本标准的内容不存在与有关现行法律、法规和强制性标准的相悖之处。</w:t>
      </w:r>
    </w:p>
    <w:p>
      <w:pPr>
        <w:adjustRightInd w:val="0"/>
        <w:snapToGrid w:val="0"/>
        <w:spacing w:line="360" w:lineRule="auto"/>
        <w:jc w:val="left"/>
        <w:outlineLvl w:val="3"/>
        <w:rPr>
          <w:rFonts w:hint="eastAsia" w:ascii="Times New Roman" w:hAnsi="Times New Roman" w:eastAsia="宋体" w:cs="Times New Roman"/>
          <w:b/>
          <w:bCs/>
          <w:kern w:val="44"/>
          <w:sz w:val="30"/>
          <w:szCs w:val="30"/>
          <w:lang w:val="en-US" w:eastAsia="zh-CN" w:bidi="ar-SA"/>
        </w:rPr>
      </w:pPr>
      <w:bookmarkStart w:id="7" w:name="_Toc108789236"/>
      <w:r>
        <w:rPr>
          <w:rFonts w:hint="eastAsia" w:ascii="Times New Roman" w:hAnsi="Times New Roman" w:eastAsia="宋体" w:cs="Times New Roman"/>
          <w:b/>
          <w:bCs/>
          <w:kern w:val="44"/>
          <w:sz w:val="30"/>
          <w:szCs w:val="30"/>
          <w:lang w:val="en-US" w:eastAsia="zh-CN" w:bidi="ar-SA"/>
        </w:rPr>
        <w:t>六、重大分歧意见的处理经过和依据</w:t>
      </w:r>
      <w:bookmarkEnd w:id="7"/>
    </w:p>
    <w:p>
      <w:pPr>
        <w:spacing w:line="360" w:lineRule="auto"/>
        <w:ind w:firstLine="560" w:firstLineChars="200"/>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ab/>
      </w:r>
      <w:r>
        <w:rPr>
          <w:rFonts w:hint="eastAsia" w:ascii="仿宋" w:hAnsi="仿宋" w:eastAsia="仿宋" w:cs="Times New Roman"/>
          <w:kern w:val="2"/>
          <w:sz w:val="28"/>
          <w:szCs w:val="28"/>
          <w:lang w:val="en-US" w:eastAsia="zh-CN" w:bidi="ar-SA"/>
        </w:rPr>
        <w:t>无。</w:t>
      </w:r>
    </w:p>
    <w:p>
      <w:pPr>
        <w:adjustRightInd w:val="0"/>
        <w:snapToGrid w:val="0"/>
        <w:spacing w:line="360" w:lineRule="auto"/>
        <w:jc w:val="left"/>
        <w:outlineLvl w:val="3"/>
        <w:rPr>
          <w:rFonts w:hint="eastAsia" w:ascii="Times New Roman" w:hAnsi="Times New Roman" w:eastAsia="宋体" w:cs="Times New Roman"/>
          <w:b/>
          <w:bCs/>
          <w:kern w:val="44"/>
          <w:sz w:val="30"/>
          <w:szCs w:val="30"/>
          <w:lang w:val="en-US" w:eastAsia="zh-CN" w:bidi="ar-SA"/>
        </w:rPr>
      </w:pPr>
      <w:bookmarkStart w:id="8" w:name="_Toc108789237"/>
      <w:r>
        <w:rPr>
          <w:rFonts w:hint="eastAsia" w:ascii="Times New Roman" w:hAnsi="Times New Roman" w:eastAsia="宋体" w:cs="Times New Roman"/>
          <w:b/>
          <w:bCs/>
          <w:kern w:val="44"/>
          <w:sz w:val="30"/>
          <w:szCs w:val="30"/>
          <w:lang w:val="en-US" w:eastAsia="zh-CN" w:bidi="ar-SA"/>
        </w:rPr>
        <w:t>七、标准作为强制性或推荐性国家（或行业）标准的建议</w:t>
      </w:r>
      <w:bookmarkEnd w:id="8"/>
    </w:p>
    <w:p>
      <w:pPr>
        <w:spacing w:line="360" w:lineRule="auto"/>
        <w:ind w:firstLine="560" w:firstLineChars="200"/>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本标准是首个针对极区地磁三份量观测技术规程技术规范，它的制定与颁布将为极区地磁三份量观测提供标准支撑，将完善极区空间环境观测领域的标准体系。建议该标准作为规范极区空间环境观测的推荐性标准，并在今后的工作中贯彻实施。</w:t>
      </w:r>
    </w:p>
    <w:p>
      <w:pPr>
        <w:adjustRightInd w:val="0"/>
        <w:snapToGrid w:val="0"/>
        <w:spacing w:line="360" w:lineRule="auto"/>
        <w:jc w:val="left"/>
        <w:outlineLvl w:val="3"/>
        <w:rPr>
          <w:rFonts w:hint="eastAsia" w:ascii="Times New Roman" w:hAnsi="Times New Roman" w:eastAsia="宋体" w:cs="Times New Roman"/>
          <w:b/>
          <w:bCs/>
          <w:kern w:val="44"/>
          <w:sz w:val="30"/>
          <w:szCs w:val="30"/>
          <w:lang w:val="en-US" w:eastAsia="zh-CN" w:bidi="ar-SA"/>
        </w:rPr>
      </w:pPr>
      <w:bookmarkStart w:id="9" w:name="_Toc108789238"/>
      <w:r>
        <w:rPr>
          <w:rFonts w:hint="eastAsia" w:ascii="Times New Roman" w:hAnsi="Times New Roman" w:eastAsia="宋体" w:cs="Times New Roman"/>
          <w:b/>
          <w:bCs/>
          <w:kern w:val="44"/>
          <w:sz w:val="30"/>
          <w:szCs w:val="30"/>
          <w:lang w:val="en-US" w:eastAsia="zh-CN" w:bidi="ar-SA"/>
        </w:rPr>
        <w:t>八、贯彻该标准的要求和措施建议(包括组织措施、技术措施、过渡办法等内容)</w:t>
      </w:r>
      <w:bookmarkEnd w:id="9"/>
    </w:p>
    <w:p>
      <w:pPr>
        <w:spacing w:line="360" w:lineRule="auto"/>
        <w:ind w:firstLine="560" w:firstLineChars="200"/>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本标准是在前期大量的管理、研究工作的基础上制定的，同时，也是在极区开展地磁三份量观测过程中的技术积累和经验总结。本标准的制定符合国家有关的现行法律、法规和方针政策，符合有关国家标准的规定。</w:t>
      </w:r>
    </w:p>
    <w:p>
      <w:pPr>
        <w:spacing w:line="360" w:lineRule="auto"/>
        <w:ind w:firstLine="560" w:firstLineChars="200"/>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建议相关观测管理单位在利用地磁三份量观测设备在极区开展地磁三份量观测过程中，适当根据设备实际情况、现场条件，以及用户的要求对具体的流程细节等进行调整，在具体执行本标准时，可视具体情况执行本标准中相应的条款。</w:t>
      </w:r>
    </w:p>
    <w:p>
      <w:pPr>
        <w:adjustRightInd w:val="0"/>
        <w:snapToGrid w:val="0"/>
        <w:spacing w:line="360" w:lineRule="auto"/>
        <w:jc w:val="left"/>
        <w:outlineLvl w:val="3"/>
        <w:rPr>
          <w:rFonts w:hint="eastAsia" w:ascii="Times New Roman" w:hAnsi="Times New Roman" w:eastAsia="宋体" w:cs="Times New Roman"/>
          <w:b/>
          <w:bCs/>
          <w:kern w:val="44"/>
          <w:sz w:val="30"/>
          <w:szCs w:val="30"/>
          <w:lang w:val="en-US" w:eastAsia="zh-CN" w:bidi="ar-SA"/>
        </w:rPr>
      </w:pPr>
      <w:bookmarkStart w:id="10" w:name="_Toc108789239"/>
    </w:p>
    <w:p>
      <w:pPr>
        <w:adjustRightInd w:val="0"/>
        <w:snapToGrid w:val="0"/>
        <w:spacing w:line="360" w:lineRule="auto"/>
        <w:jc w:val="left"/>
        <w:outlineLvl w:val="3"/>
        <w:rPr>
          <w:rFonts w:hint="eastAsia" w:ascii="Times New Roman" w:hAnsi="Times New Roman" w:eastAsia="宋体" w:cs="Times New Roman"/>
          <w:b/>
          <w:bCs/>
          <w:kern w:val="44"/>
          <w:sz w:val="30"/>
          <w:szCs w:val="30"/>
          <w:lang w:val="en-US" w:eastAsia="zh-CN" w:bidi="ar-SA"/>
        </w:rPr>
      </w:pPr>
      <w:r>
        <w:rPr>
          <w:rFonts w:hint="eastAsia" w:ascii="Times New Roman" w:hAnsi="Times New Roman" w:eastAsia="宋体" w:cs="Times New Roman"/>
          <w:b/>
          <w:bCs/>
          <w:kern w:val="44"/>
          <w:sz w:val="30"/>
          <w:szCs w:val="30"/>
          <w:lang w:val="en-US" w:eastAsia="zh-CN" w:bidi="ar-SA"/>
        </w:rPr>
        <w:t>九、废止现行有关标准的建议</w:t>
      </w:r>
      <w:bookmarkEnd w:id="10"/>
    </w:p>
    <w:p>
      <w:pPr>
        <w:pStyle w:val="4"/>
        <w:spacing w:before="156" w:beforeLines="50" w:after="0" w:line="360" w:lineRule="auto"/>
        <w:ind w:left="0" w:leftChars="0"/>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ab/>
      </w:r>
      <w:r>
        <w:rPr>
          <w:rFonts w:hint="eastAsia" w:ascii="仿宋" w:hAnsi="仿宋" w:eastAsia="仿宋" w:cs="Times New Roman"/>
          <w:kern w:val="2"/>
          <w:sz w:val="28"/>
          <w:szCs w:val="28"/>
          <w:lang w:val="en-US" w:eastAsia="zh-CN" w:bidi="ar-SA"/>
        </w:rPr>
        <w:t>无。</w:t>
      </w:r>
    </w:p>
    <w:p>
      <w:pPr>
        <w:adjustRightInd w:val="0"/>
        <w:snapToGrid w:val="0"/>
        <w:spacing w:line="360" w:lineRule="auto"/>
        <w:jc w:val="left"/>
        <w:outlineLvl w:val="3"/>
        <w:rPr>
          <w:rFonts w:hint="eastAsia" w:ascii="Times New Roman" w:hAnsi="Times New Roman" w:eastAsia="宋体" w:cs="Times New Roman"/>
          <w:b/>
          <w:bCs/>
          <w:kern w:val="44"/>
          <w:sz w:val="30"/>
          <w:szCs w:val="30"/>
          <w:lang w:val="en-US" w:eastAsia="zh-CN" w:bidi="ar-SA"/>
        </w:rPr>
      </w:pPr>
      <w:bookmarkStart w:id="11" w:name="_Toc108789240"/>
      <w:r>
        <w:rPr>
          <w:rFonts w:hint="eastAsia" w:ascii="Times New Roman" w:hAnsi="Times New Roman" w:eastAsia="宋体" w:cs="Times New Roman"/>
          <w:b/>
          <w:bCs/>
          <w:kern w:val="44"/>
          <w:sz w:val="30"/>
          <w:szCs w:val="30"/>
          <w:lang w:val="en-US" w:eastAsia="zh-CN" w:bidi="ar-SA"/>
        </w:rPr>
        <w:t>十、其他应予说明的事项</w:t>
      </w:r>
      <w:bookmarkEnd w:id="11"/>
    </w:p>
    <w:p>
      <w:pPr>
        <w:pStyle w:val="4"/>
        <w:spacing w:before="156" w:beforeLines="50" w:after="0" w:line="360" w:lineRule="auto"/>
        <w:ind w:left="420" w:leftChars="200" w:firstLine="0" w:firstLineChars="0"/>
        <w:rPr>
          <w:rFonts w:hint="eastAsia" w:ascii="仿宋" w:hAnsi="仿宋" w:eastAsia="仿宋" w:cs="Times New Roman"/>
          <w:kern w:val="2"/>
          <w:sz w:val="28"/>
          <w:szCs w:val="28"/>
          <w:lang w:val="en-US" w:eastAsia="zh-CN" w:bidi="ar-SA"/>
        </w:rPr>
      </w:pPr>
      <w:bookmarkStart w:id="12" w:name="_GoBack"/>
      <w:r>
        <w:rPr>
          <w:rFonts w:hint="eastAsia" w:ascii="仿宋" w:hAnsi="仿宋" w:eastAsia="仿宋" w:cs="Times New Roman"/>
          <w:kern w:val="2"/>
          <w:sz w:val="28"/>
          <w:szCs w:val="28"/>
          <w:lang w:val="en-US" w:eastAsia="zh-CN" w:bidi="ar-SA"/>
        </w:rPr>
        <w:t>无。</w:t>
      </w:r>
    </w:p>
    <w:bookmarkEnd w:id="12"/>
    <w:p>
      <w:pPr>
        <w:adjustRightInd w:val="0"/>
        <w:snapToGrid w:val="0"/>
        <w:spacing w:line="360" w:lineRule="auto"/>
        <w:ind w:firstLine="420" w:firstLineChars="0"/>
        <w:outlineLvl w:val="3"/>
        <w:rPr>
          <w:rFonts w:hint="eastAsia" w:ascii="仿宋" w:hAnsi="仿宋" w:eastAsia="仿宋" w:cs="Times New Roman"/>
          <w:kern w:val="2"/>
          <w:sz w:val="28"/>
          <w:szCs w:val="28"/>
          <w:lang w:val="en-US" w:eastAsia="zh-CN" w:bidi="ar-SA"/>
        </w:rPr>
      </w:pPr>
    </w:p>
    <w:p>
      <w:pPr>
        <w:spacing w:line="360" w:lineRule="auto"/>
        <w:ind w:left="420"/>
        <w:rPr>
          <w:rFonts w:hint="eastAsia"/>
        </w:rPr>
      </w:pP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8"/>
      </w:rPr>
    </w:pPr>
    <w:r>
      <w:rPr>
        <w:rStyle w:val="8"/>
      </w:rPr>
      <w:fldChar w:fldCharType="begin"/>
    </w:r>
    <w:r>
      <w:rPr>
        <w:rStyle w:val="8"/>
      </w:rPr>
      <w:instrText xml:space="preserve">PAGE  </w:instrText>
    </w:r>
    <w:r>
      <w:rPr>
        <w:rStyle w:val="8"/>
      </w:rPr>
      <w:fldChar w:fldCharType="separate"/>
    </w:r>
    <w:r>
      <w:rPr>
        <w:rStyle w:val="8"/>
      </w:rPr>
      <w:t>5</w:t>
    </w:r>
    <w:r>
      <w:rPr>
        <w:rStyle w:val="8"/>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8"/>
      </w:rPr>
    </w:pPr>
    <w:r>
      <w:rPr>
        <w:rStyle w:val="8"/>
      </w:rPr>
      <w:fldChar w:fldCharType="begin"/>
    </w:r>
    <w:r>
      <w:rPr>
        <w:rStyle w:val="8"/>
      </w:rPr>
      <w:instrText xml:space="preserve">PAGE  </w:instrText>
    </w:r>
    <w:r>
      <w:rPr>
        <w:rStyle w:val="8"/>
      </w:rPr>
      <w:fldChar w:fldCharType="end"/>
    </w:r>
  </w:p>
  <w:p>
    <w:pPr>
      <w:pStyle w:val="5"/>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1C755C"/>
    <w:multiLevelType w:val="singleLevel"/>
    <w:tmpl w:val="871C755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yNjljODNkMTUyNWFmZWQwOGNlZWJjMzA0YzdjNmMifQ=="/>
  </w:docVars>
  <w:rsids>
    <w:rsidRoot w:val="565C22C9"/>
    <w:rsid w:val="565C22C9"/>
    <w:rsid w:val="59710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Body Text Indent"/>
    <w:basedOn w:val="1"/>
    <w:qFormat/>
    <w:uiPriority w:val="0"/>
    <w:pPr>
      <w:spacing w:after="120"/>
      <w:ind w:left="420" w:leftChars="200"/>
    </w:pPr>
    <w:rPr>
      <w:szCs w:val="20"/>
    </w:rPr>
  </w:style>
  <w:style w:type="paragraph" w:styleId="5">
    <w:name w:val="footer"/>
    <w:basedOn w:val="1"/>
    <w:uiPriority w:val="0"/>
    <w:pPr>
      <w:tabs>
        <w:tab w:val="center" w:pos="4153"/>
        <w:tab w:val="right" w:pos="8306"/>
      </w:tabs>
      <w:snapToGrid w:val="0"/>
      <w:jc w:val="left"/>
    </w:pPr>
    <w:rPr>
      <w:sz w:val="18"/>
      <w:szCs w:val="18"/>
    </w:rPr>
  </w:style>
  <w:style w:type="character" w:styleId="8">
    <w:name w:val="page number"/>
    <w:basedOn w:val="7"/>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1224</Words>
  <Characters>1288</Characters>
  <Lines>0</Lines>
  <Paragraphs>0</Paragraphs>
  <TotalTime>2</TotalTime>
  <ScaleCrop>false</ScaleCrop>
  <LinksUpToDate>false</LinksUpToDate>
  <CharactersWithSpaces>1295</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2023-03-06T04:22:00Z</dcterms:created>
  <dc:creator>Libin</dc:creator>
  <cp:lastModifiedBy>Libin</cp:lastModifiedBy>
  <dcterms:modified xsi:type="dcterms:W3CDTF">2023-03-06T08:28:36Z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FB034E261E2E43AA965418939733990D</vt:lpwstr>
  </property>
</Properties>
</file>